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B571" w14:textId="77777777" w:rsidR="00AB1CF8" w:rsidRDefault="00EB3828" w:rsidP="008E56F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56F9">
        <w:rPr>
          <w:rFonts w:ascii="Arial" w:hAnsi="Arial" w:cs="Arial"/>
          <w:b/>
          <w:bCs/>
          <w:sz w:val="24"/>
          <w:szCs w:val="24"/>
        </w:rPr>
        <w:t xml:space="preserve">KERANGKA ACUAN KERJA </w:t>
      </w:r>
    </w:p>
    <w:p w14:paraId="0A173E21" w14:textId="36A4ADF7" w:rsidR="00F36E7E" w:rsidRPr="008E56F9" w:rsidRDefault="00EB3828" w:rsidP="008E56F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56F9">
        <w:rPr>
          <w:rFonts w:ascii="Arial" w:hAnsi="Arial" w:cs="Arial"/>
          <w:b/>
          <w:bCs/>
          <w:sz w:val="24"/>
          <w:szCs w:val="24"/>
        </w:rPr>
        <w:t xml:space="preserve">PENGADAAN JASA </w:t>
      </w:r>
      <w:r w:rsidR="00AB1CF8">
        <w:rPr>
          <w:rFonts w:ascii="Arial" w:hAnsi="Arial" w:cs="Arial"/>
          <w:b/>
          <w:bCs/>
          <w:sz w:val="24"/>
          <w:szCs w:val="24"/>
        </w:rPr>
        <w:t>LAINNYA</w:t>
      </w:r>
    </w:p>
    <w:p w14:paraId="3EEA3A10" w14:textId="2ABDEA60" w:rsidR="007D2335" w:rsidRPr="008E56F9" w:rsidRDefault="00AB1CF8" w:rsidP="008E56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B1CF8">
        <w:rPr>
          <w:rFonts w:ascii="Arial" w:hAnsi="Arial" w:cs="Arial"/>
          <w:sz w:val="24"/>
          <w:szCs w:val="24"/>
        </w:rPr>
        <w:t>Belanja</w:t>
      </w:r>
      <w:proofErr w:type="spellEnd"/>
      <w:r w:rsidRPr="00AB1CF8">
        <w:rPr>
          <w:rFonts w:ascii="Arial" w:hAnsi="Arial" w:cs="Arial"/>
          <w:sz w:val="24"/>
          <w:szCs w:val="24"/>
        </w:rPr>
        <w:t xml:space="preserve"> Jasa </w:t>
      </w:r>
      <w:proofErr w:type="spellStart"/>
      <w:r w:rsidRPr="00AB1CF8">
        <w:rPr>
          <w:rFonts w:ascii="Arial" w:hAnsi="Arial" w:cs="Arial"/>
          <w:sz w:val="24"/>
          <w:szCs w:val="24"/>
        </w:rPr>
        <w:t>Penyelenggaraan</w:t>
      </w:r>
      <w:proofErr w:type="spellEnd"/>
      <w:r w:rsidRPr="00AB1CF8">
        <w:rPr>
          <w:rFonts w:ascii="Arial" w:hAnsi="Arial" w:cs="Arial"/>
          <w:sz w:val="24"/>
          <w:szCs w:val="24"/>
        </w:rPr>
        <w:t xml:space="preserve"> Acara </w:t>
      </w:r>
      <w:proofErr w:type="spellStart"/>
      <w:r w:rsidRPr="00AB1CF8">
        <w:rPr>
          <w:rFonts w:ascii="Arial" w:hAnsi="Arial" w:cs="Arial"/>
          <w:sz w:val="24"/>
          <w:szCs w:val="24"/>
        </w:rPr>
        <w:t>Rapat</w:t>
      </w:r>
      <w:proofErr w:type="spellEnd"/>
      <w:r w:rsidRPr="00AB1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CF8">
        <w:rPr>
          <w:rFonts w:ascii="Arial" w:hAnsi="Arial" w:cs="Arial"/>
          <w:sz w:val="24"/>
          <w:szCs w:val="24"/>
        </w:rPr>
        <w:t>Koordinasi</w:t>
      </w:r>
      <w:proofErr w:type="spellEnd"/>
      <w:r w:rsidRPr="00AB1C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CF8">
        <w:rPr>
          <w:rFonts w:ascii="Arial" w:hAnsi="Arial" w:cs="Arial"/>
          <w:sz w:val="24"/>
          <w:szCs w:val="24"/>
        </w:rPr>
        <w:t>Pengawasan</w:t>
      </w:r>
      <w:proofErr w:type="spellEnd"/>
      <w:r w:rsidRPr="00AB1CF8">
        <w:rPr>
          <w:rFonts w:ascii="Arial" w:hAnsi="Arial" w:cs="Arial"/>
          <w:sz w:val="24"/>
          <w:szCs w:val="24"/>
        </w:rPr>
        <w:t xml:space="preserve"> Nasional</w:t>
      </w:r>
    </w:p>
    <w:p w14:paraId="265643A7" w14:textId="77777777" w:rsidR="003F315A" w:rsidRPr="008E56F9" w:rsidRDefault="003F315A" w:rsidP="008E56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865"/>
        <w:gridCol w:w="284"/>
        <w:gridCol w:w="6237"/>
      </w:tblGrid>
      <w:tr w:rsidR="00EB3828" w:rsidRPr="008E56F9" w14:paraId="75374D4C" w14:textId="77777777" w:rsidTr="002D6E3D">
        <w:tc>
          <w:tcPr>
            <w:tcW w:w="550" w:type="dxa"/>
          </w:tcPr>
          <w:p w14:paraId="2B72444D" w14:textId="3C0D0724" w:rsidR="00EB3828" w:rsidRPr="008E56F9" w:rsidRDefault="00EB3828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14:paraId="59B2F844" w14:textId="16485B58" w:rsidR="00EB3828" w:rsidRPr="008E56F9" w:rsidRDefault="00EB3828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 xml:space="preserve">Latar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284" w:type="dxa"/>
          </w:tcPr>
          <w:p w14:paraId="41EB2EAE" w14:textId="2DB6638B" w:rsidR="00EB3828" w:rsidRPr="008E56F9" w:rsidRDefault="00EB3828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1577229" w14:textId="10D41BFA" w:rsidR="005F460A" w:rsidRPr="005F460A" w:rsidRDefault="005F460A" w:rsidP="005F460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Daerah Nasional (RAKORWASNAS)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upaya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meningkatkan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kualitas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daerah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kota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Kemendagri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RI.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Kualitas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permerintahan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daerah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antara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lain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ditentukan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sinergi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F460A"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harmonisasi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antar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kota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="00AB08F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Kemendagri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RI </w:t>
            </w:r>
            <w:r w:rsidR="00AB08FD">
              <w:rPr>
                <w:rFonts w:ascii="Arial" w:hAnsi="Arial" w:cs="Arial"/>
                <w:sz w:val="24"/>
                <w:szCs w:val="24"/>
              </w:rPr>
              <w:t xml:space="preserve">dan </w:t>
            </w:r>
            <w:proofErr w:type="spellStart"/>
            <w:r w:rsidR="00AB08FD"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 w:rsidR="00AB08FD">
              <w:rPr>
                <w:rFonts w:ascii="Arial" w:hAnsi="Arial" w:cs="Arial"/>
                <w:sz w:val="24"/>
                <w:szCs w:val="24"/>
              </w:rPr>
              <w:t xml:space="preserve"> K/L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sasaran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objek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fokus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pencapaian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pemantauan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tindak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lanjut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Rakorwasnas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Sumatera Utara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diharapkan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menghasilkan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kualitas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DB259F" w14:textId="038CA072" w:rsidR="00374CE4" w:rsidRDefault="005F460A" w:rsidP="00374C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menyelenggarakan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Rakorwasnas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Sumatera Utara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perlu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didukung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</w:t>
            </w:r>
            <w:proofErr w:type="spellEnd"/>
            <w:r w:rsidR="002D6E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6E3D">
              <w:rPr>
                <w:rFonts w:ascii="Arial" w:hAnsi="Arial" w:cs="Arial"/>
                <w:sz w:val="24"/>
                <w:szCs w:val="24"/>
              </w:rPr>
              <w:t>Penyelenggara</w:t>
            </w:r>
            <w:proofErr w:type="spellEnd"/>
            <w:r w:rsidR="002D6E3D">
              <w:rPr>
                <w:rFonts w:ascii="Arial" w:hAnsi="Arial" w:cs="Arial"/>
                <w:sz w:val="24"/>
                <w:szCs w:val="24"/>
              </w:rPr>
              <w:t xml:space="preserve"> Acara (</w:t>
            </w:r>
            <w:r w:rsidRPr="00555A3D">
              <w:rPr>
                <w:rFonts w:ascii="Arial" w:hAnsi="Arial" w:cs="Arial"/>
                <w:i/>
                <w:iCs/>
                <w:sz w:val="24"/>
                <w:szCs w:val="24"/>
              </w:rPr>
              <w:t>Even Organizer</w:t>
            </w:r>
            <w:r w:rsidR="002D6E3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6D1">
              <w:rPr>
                <w:rFonts w:ascii="Arial" w:hAnsi="Arial" w:cs="Arial"/>
                <w:sz w:val="24"/>
                <w:szCs w:val="24"/>
              </w:rPr>
              <w:t>sehingga</w:t>
            </w:r>
            <w:proofErr w:type="spellEnd"/>
            <w:r w:rsid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6D1">
              <w:rPr>
                <w:rFonts w:ascii="Arial" w:hAnsi="Arial" w:cs="Arial"/>
                <w:sz w:val="24"/>
                <w:szCs w:val="24"/>
              </w:rPr>
              <w:t>dapat</w:t>
            </w:r>
            <w:proofErr w:type="spellEnd"/>
            <w:r w:rsid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dipersiapkan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matang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suksesnya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secara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matang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sedini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mungkin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melibatkan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internal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eksternal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Sumatera Utara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ketersediaan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daya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daya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prasarana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memadai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panduan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5F460A">
              <w:rPr>
                <w:rFonts w:ascii="Arial" w:hAnsi="Arial" w:cs="Arial"/>
                <w:sz w:val="24"/>
                <w:szCs w:val="24"/>
              </w:rPr>
              <w:t>jelas</w:t>
            </w:r>
            <w:proofErr w:type="spellEnd"/>
            <w:r w:rsidRPr="005F46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F27757" w14:textId="77777777" w:rsidR="00F93133" w:rsidRDefault="00F93133" w:rsidP="005F460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AAB37" w14:textId="46A7193F" w:rsidR="005F460A" w:rsidRPr="008E56F9" w:rsidRDefault="005F460A" w:rsidP="005F460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643B7CEC" w14:textId="77777777" w:rsidTr="002D6E3D">
        <w:tc>
          <w:tcPr>
            <w:tcW w:w="550" w:type="dxa"/>
          </w:tcPr>
          <w:p w14:paraId="659D413C" w14:textId="41A047E2" w:rsidR="00EB3828" w:rsidRPr="008E56F9" w:rsidRDefault="00EB3828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14:paraId="5CDC98E6" w14:textId="0FF378B5" w:rsidR="00EB3828" w:rsidRPr="008E56F9" w:rsidRDefault="00EB3828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Maksud dan Tujuan</w:t>
            </w:r>
          </w:p>
        </w:tc>
        <w:tc>
          <w:tcPr>
            <w:tcW w:w="284" w:type="dxa"/>
          </w:tcPr>
          <w:p w14:paraId="15E2A44C" w14:textId="4915A5B6" w:rsidR="00EB3828" w:rsidRPr="008E56F9" w:rsidRDefault="00EB3828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1E923E9" w14:textId="3E4FB979" w:rsidR="00EB3828" w:rsidRPr="008E56F9" w:rsidRDefault="00EB3828" w:rsidP="003A76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 xml:space="preserve">Maksud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3A76D1" w:rsidRPr="003A76D1">
              <w:rPr>
                <w:rFonts w:ascii="Arial" w:hAnsi="Arial" w:cs="Arial"/>
                <w:sz w:val="24"/>
                <w:szCs w:val="24"/>
              </w:rPr>
              <w:t xml:space="preserve"> Jasa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Lainnya</w:t>
            </w:r>
            <w:proofErr w:type="spellEnd"/>
            <w:r w:rsid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Belanja</w:t>
            </w:r>
            <w:proofErr w:type="spellEnd"/>
            <w:r w:rsidR="003A76D1" w:rsidRPr="003A76D1">
              <w:rPr>
                <w:rFonts w:ascii="Arial" w:hAnsi="Arial" w:cs="Arial"/>
                <w:sz w:val="24"/>
                <w:szCs w:val="24"/>
              </w:rPr>
              <w:t xml:space="preserve"> Jasa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="003A76D1" w:rsidRPr="003A76D1"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3A76D1"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="003A76D1"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6D1"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="003A76D1" w:rsidRPr="003A76D1">
              <w:rPr>
                <w:rFonts w:ascii="Arial" w:hAnsi="Arial" w:cs="Arial"/>
                <w:sz w:val="24"/>
                <w:szCs w:val="24"/>
              </w:rPr>
              <w:t xml:space="preserve"> Nasional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644C686" w14:textId="253B5634" w:rsidR="00EB3828" w:rsidRPr="008E56F9" w:rsidRDefault="00EB3828" w:rsidP="008E56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Me</w:t>
            </w:r>
            <w:r w:rsidR="00945B3A" w:rsidRPr="008E56F9">
              <w:rPr>
                <w:rFonts w:ascii="Arial" w:hAnsi="Arial" w:cs="Arial"/>
                <w:sz w:val="24"/>
                <w:szCs w:val="24"/>
              </w:rPr>
              <w:t>rencanakan</w:t>
            </w:r>
            <w:proofErr w:type="spellEnd"/>
            <w:r w:rsidR="00945B3A"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5B3A" w:rsidRPr="008E56F9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="00945B3A"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Pr="008E56F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15712B" w14:textId="3E8B47BE" w:rsidR="006249E8" w:rsidRDefault="00433459" w:rsidP="008E56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acara;</w:t>
            </w:r>
          </w:p>
          <w:p w14:paraId="30E7F594" w14:textId="54B0EFE9" w:rsidR="00433459" w:rsidRDefault="00433459" w:rsidP="008E56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Mempersiapkan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917">
              <w:rPr>
                <w:rFonts w:ascii="Arial" w:hAnsi="Arial" w:cs="Arial"/>
                <w:sz w:val="24"/>
                <w:szCs w:val="24"/>
              </w:rPr>
              <w:t>a</w:t>
            </w:r>
            <w:r w:rsidRPr="003A76D1">
              <w:rPr>
                <w:rFonts w:ascii="Arial" w:hAnsi="Arial" w:cs="Arial"/>
                <w:sz w:val="24"/>
                <w:szCs w:val="24"/>
              </w:rPr>
              <w:t xml:space="preserve">cara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7964A00" w14:textId="5EED2E6E" w:rsidR="005C7917" w:rsidRDefault="005C7917" w:rsidP="008E56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Melaksanakan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Lanjut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Kementerian Dalam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Negeri  dan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Kementerian/Lembaga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 </w:t>
            </w:r>
          </w:p>
          <w:p w14:paraId="53CD470C" w14:textId="0CB30EA6" w:rsidR="006249E8" w:rsidRPr="008E56F9" w:rsidRDefault="006249E8" w:rsidP="008E56F9">
            <w:pPr>
              <w:spacing w:line="276" w:lineRule="auto"/>
              <w:ind w:lef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lastRenderedPageBreak/>
              <w:t xml:space="preserve">Tujuan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Jasa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Lainnya</w:t>
            </w:r>
            <w:proofErr w:type="spellEnd"/>
            <w:r w:rsidR="004334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Belanja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Jasa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3459"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="00433459"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993255" w14:textId="2923FA4B" w:rsidR="00AA3B11" w:rsidRPr="008E56F9" w:rsidRDefault="00AA3B11" w:rsidP="00AA3B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Tersedianya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7917">
              <w:rPr>
                <w:rFonts w:ascii="Arial" w:hAnsi="Arial" w:cs="Arial"/>
                <w:sz w:val="24"/>
                <w:szCs w:val="24"/>
              </w:rPr>
              <w:t>prasarana</w:t>
            </w:r>
            <w:proofErr w:type="spellEnd"/>
            <w:r w:rsidR="005C79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5C7917">
              <w:rPr>
                <w:rFonts w:ascii="Arial" w:hAnsi="Arial" w:cs="Arial"/>
                <w:sz w:val="24"/>
                <w:szCs w:val="24"/>
              </w:rPr>
              <w:t>sarana</w:t>
            </w:r>
            <w:proofErr w:type="spellEnd"/>
            <w:r w:rsidR="005C7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7917" w:rsidRPr="003A76D1"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 w:rsidR="005C7917" w:rsidRPr="003A76D1"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Pr="008E56F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2CBDDF" w14:textId="77F6C487" w:rsidR="00AA3B11" w:rsidRDefault="00AA3B11" w:rsidP="00AA3B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Terlaksananya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penyelenggaraan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acara;</w:t>
            </w:r>
          </w:p>
          <w:p w14:paraId="247CE96F" w14:textId="47160926" w:rsidR="00AA3B11" w:rsidRDefault="00AA3B11" w:rsidP="00AA3B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Tersedianya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76D1">
              <w:rPr>
                <w:rFonts w:ascii="Arial" w:hAnsi="Arial" w:cs="Arial"/>
                <w:sz w:val="24"/>
                <w:szCs w:val="24"/>
              </w:rPr>
              <w:t xml:space="preserve">Acara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A2FD8F" w14:textId="1F6144AC" w:rsidR="00CF0746" w:rsidRDefault="00CF0746" w:rsidP="00AA3B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Terlaksananya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lanjut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Kemendagri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K/L</w:t>
            </w:r>
          </w:p>
          <w:p w14:paraId="32C5AAF0" w14:textId="3F3390E7" w:rsidR="00EB3828" w:rsidRPr="008E56F9" w:rsidRDefault="00EB3828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2C581E0C" w14:textId="77777777" w:rsidTr="002D6E3D">
        <w:tc>
          <w:tcPr>
            <w:tcW w:w="550" w:type="dxa"/>
          </w:tcPr>
          <w:p w14:paraId="0C447C28" w14:textId="79EBE5F5" w:rsidR="00EB3828" w:rsidRPr="008E56F9" w:rsidRDefault="00B10DC6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5" w:type="dxa"/>
          </w:tcPr>
          <w:p w14:paraId="3A5BCE6B" w14:textId="744C76DD" w:rsidR="00EB3828" w:rsidRPr="008E56F9" w:rsidRDefault="00B10DC6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284" w:type="dxa"/>
          </w:tcPr>
          <w:p w14:paraId="6F0AA813" w14:textId="3478F406" w:rsidR="00EB3828" w:rsidRPr="008E56F9" w:rsidRDefault="00B10DC6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2B3114E" w14:textId="3C3DB934" w:rsidR="00EB3828" w:rsidRDefault="005536AA" w:rsidP="005536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="00CF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Jenderal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Kementerian Dalam Negeri,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Jenderal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Kementerian/Lembaga,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/Kota </w:t>
            </w:r>
            <w:proofErr w:type="spellStart"/>
            <w:r w:rsidR="00CF0746">
              <w:rPr>
                <w:rFonts w:ascii="Arial" w:hAnsi="Arial" w:cs="Arial"/>
                <w:sz w:val="24"/>
                <w:szCs w:val="24"/>
              </w:rPr>
              <w:t>seluruh</w:t>
            </w:r>
            <w:proofErr w:type="spellEnd"/>
            <w:r w:rsidR="00CF0746">
              <w:rPr>
                <w:rFonts w:ascii="Arial" w:hAnsi="Arial" w:cs="Arial"/>
                <w:sz w:val="24"/>
                <w:szCs w:val="24"/>
              </w:rPr>
              <w:t xml:space="preserve"> Indonesia.</w:t>
            </w:r>
          </w:p>
          <w:p w14:paraId="06DECC81" w14:textId="3B4941A4" w:rsidR="002D6E3D" w:rsidRPr="008E56F9" w:rsidRDefault="002D6E3D" w:rsidP="005536A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2E398969" w14:textId="77777777" w:rsidTr="002D6E3D">
        <w:tc>
          <w:tcPr>
            <w:tcW w:w="550" w:type="dxa"/>
          </w:tcPr>
          <w:p w14:paraId="4B857A24" w14:textId="69E1E4FB" w:rsidR="00EB3828" w:rsidRPr="008E56F9" w:rsidRDefault="00B10DC6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65" w:type="dxa"/>
          </w:tcPr>
          <w:p w14:paraId="5AAB915E" w14:textId="4F97FE2F" w:rsidR="00EB3828" w:rsidRPr="008E56F9" w:rsidRDefault="00B10DC6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 xml:space="preserve">Lokasi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14:paraId="02F49845" w14:textId="14FF28AB" w:rsidR="00EB3828" w:rsidRPr="008E56F9" w:rsidRDefault="00B10DC6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1A45C9A5" w14:textId="5DB6D51B" w:rsidR="00EB3828" w:rsidRPr="008E56F9" w:rsidRDefault="000A5FEB" w:rsidP="008E56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10DC6" w:rsidRPr="008E56F9">
              <w:rPr>
                <w:rFonts w:ascii="Arial" w:hAnsi="Arial" w:cs="Arial"/>
                <w:sz w:val="24"/>
                <w:szCs w:val="24"/>
              </w:rPr>
              <w:t xml:space="preserve">Kantor </w:t>
            </w:r>
            <w:proofErr w:type="spellStart"/>
            <w:r w:rsidR="00B10DC6" w:rsidRPr="008E56F9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="00B10DC6"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0DC6" w:rsidRPr="008E56F9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="00B10DC6" w:rsidRPr="008E56F9">
              <w:rPr>
                <w:rFonts w:ascii="Arial" w:hAnsi="Arial" w:cs="Arial"/>
                <w:sz w:val="24"/>
                <w:szCs w:val="24"/>
              </w:rPr>
              <w:t xml:space="preserve"> Sumatera Utara</w:t>
            </w:r>
          </w:p>
          <w:p w14:paraId="5CB41566" w14:textId="35629123" w:rsidR="00B10DC6" w:rsidRDefault="00B10DC6" w:rsidP="000A5FEB">
            <w:pPr>
              <w:spacing w:line="276" w:lineRule="auto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Jl. K.H Wahid Hasyim No. 8 Medan</w:t>
            </w:r>
          </w:p>
          <w:p w14:paraId="7DFABEDC" w14:textId="7359886B" w:rsidR="000A5FEB" w:rsidRDefault="000A5FEB" w:rsidP="008E56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bookmarkStart w:id="0" w:name="_Hlk145089713"/>
            <w:r w:rsidR="00450FDF" w:rsidRPr="00450FDF">
              <w:rPr>
                <w:rFonts w:ascii="Arial" w:hAnsi="Arial" w:cs="Arial"/>
                <w:sz w:val="24"/>
                <w:szCs w:val="24"/>
              </w:rPr>
              <w:t>Santika Premiere Dyandra Hotel &amp; Convention</w:t>
            </w:r>
          </w:p>
          <w:p w14:paraId="4169FE5E" w14:textId="77777777" w:rsidR="00AE7549" w:rsidRDefault="00450FDF" w:rsidP="00AE7549">
            <w:p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r w:rsidRPr="00450FDF">
              <w:rPr>
                <w:rFonts w:ascii="Arial" w:hAnsi="Arial" w:cs="Arial"/>
                <w:sz w:val="24"/>
                <w:szCs w:val="24"/>
              </w:rPr>
              <w:t xml:space="preserve">Jl. </w:t>
            </w:r>
            <w:proofErr w:type="spellStart"/>
            <w:r w:rsidRPr="00450FDF">
              <w:rPr>
                <w:rFonts w:ascii="Arial" w:hAnsi="Arial" w:cs="Arial"/>
                <w:sz w:val="24"/>
                <w:szCs w:val="24"/>
              </w:rPr>
              <w:t>Kapten</w:t>
            </w:r>
            <w:proofErr w:type="spellEnd"/>
            <w:r w:rsidRPr="00450FDF">
              <w:rPr>
                <w:rFonts w:ascii="Arial" w:hAnsi="Arial" w:cs="Arial"/>
                <w:sz w:val="24"/>
                <w:szCs w:val="24"/>
              </w:rPr>
              <w:t xml:space="preserve"> Maulana Lubis No.7, </w:t>
            </w:r>
            <w:proofErr w:type="spellStart"/>
            <w:r w:rsidRPr="00450FDF">
              <w:rPr>
                <w:rFonts w:ascii="Arial" w:hAnsi="Arial" w:cs="Arial"/>
                <w:sz w:val="24"/>
                <w:szCs w:val="24"/>
              </w:rPr>
              <w:t>Petisah</w:t>
            </w:r>
            <w:proofErr w:type="spellEnd"/>
            <w:r w:rsidRPr="00450FDF">
              <w:rPr>
                <w:rFonts w:ascii="Arial" w:hAnsi="Arial" w:cs="Arial"/>
                <w:sz w:val="24"/>
                <w:szCs w:val="24"/>
              </w:rPr>
              <w:t xml:space="preserve"> Tengah, </w:t>
            </w:r>
          </w:p>
          <w:p w14:paraId="68AA8A80" w14:textId="35EC32EA" w:rsidR="000A5FEB" w:rsidRDefault="00450FDF" w:rsidP="00AE7549">
            <w:pPr>
              <w:spacing w:line="276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0FDF">
              <w:rPr>
                <w:rFonts w:ascii="Arial" w:hAnsi="Arial" w:cs="Arial"/>
                <w:sz w:val="24"/>
                <w:szCs w:val="24"/>
              </w:rPr>
              <w:t>Kec</w:t>
            </w:r>
            <w:proofErr w:type="spellEnd"/>
            <w:r w:rsidRPr="00450FDF">
              <w:rPr>
                <w:rFonts w:ascii="Arial" w:hAnsi="Arial" w:cs="Arial"/>
                <w:sz w:val="24"/>
                <w:szCs w:val="24"/>
              </w:rPr>
              <w:t xml:space="preserve">. Medan </w:t>
            </w:r>
            <w:proofErr w:type="spellStart"/>
            <w:r w:rsidRPr="00450FDF">
              <w:rPr>
                <w:rFonts w:ascii="Arial" w:hAnsi="Arial" w:cs="Arial"/>
                <w:sz w:val="24"/>
                <w:szCs w:val="24"/>
              </w:rPr>
              <w:t>Petisah</w:t>
            </w:r>
            <w:proofErr w:type="spellEnd"/>
            <w:r w:rsidRPr="00450FDF">
              <w:rPr>
                <w:rFonts w:ascii="Arial" w:hAnsi="Arial" w:cs="Arial"/>
                <w:sz w:val="24"/>
                <w:szCs w:val="24"/>
              </w:rPr>
              <w:t>, Kota Medan, Sumatera Utara</w:t>
            </w:r>
          </w:p>
          <w:bookmarkEnd w:id="0"/>
          <w:p w14:paraId="7C824FBA" w14:textId="7FB5D6B4" w:rsidR="002D6E3D" w:rsidRPr="008E56F9" w:rsidRDefault="002D6E3D" w:rsidP="000A5FEB">
            <w:pPr>
              <w:spacing w:line="276" w:lineRule="auto"/>
              <w:ind w:left="31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35D43D33" w14:textId="77777777" w:rsidTr="002D6E3D">
        <w:tc>
          <w:tcPr>
            <w:tcW w:w="550" w:type="dxa"/>
          </w:tcPr>
          <w:p w14:paraId="189AB0A8" w14:textId="1138440F" w:rsidR="00EB3828" w:rsidRPr="008E56F9" w:rsidRDefault="00B10DC6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65" w:type="dxa"/>
          </w:tcPr>
          <w:p w14:paraId="0177E976" w14:textId="4B5C8D0C" w:rsidR="00EB3828" w:rsidRPr="008E56F9" w:rsidRDefault="00B10DC6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Pendanaan</w:t>
            </w:r>
            <w:proofErr w:type="spellEnd"/>
          </w:p>
        </w:tc>
        <w:tc>
          <w:tcPr>
            <w:tcW w:w="284" w:type="dxa"/>
          </w:tcPr>
          <w:p w14:paraId="704411D5" w14:textId="389BDE60" w:rsidR="00EB3828" w:rsidRPr="008E56F9" w:rsidRDefault="00B10DC6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5EB384A" w14:textId="77777777" w:rsidR="000A5FEB" w:rsidRDefault="00B10DC6" w:rsidP="002D6E3D">
            <w:pPr>
              <w:spacing w:line="276" w:lineRule="auto"/>
              <w:ind w:right="-25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dibiayai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APBD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Sumatera Utara, DPA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>: DPA/A.1/6.01.0.00.0.00.01.0000/001/202</w:t>
            </w:r>
            <w:r w:rsidR="00D852D3" w:rsidRPr="008E56F9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E6CFA88" w14:textId="3FEF5CD9" w:rsidR="002D6E3D" w:rsidRPr="008E56F9" w:rsidRDefault="002D6E3D" w:rsidP="002D6E3D">
            <w:pPr>
              <w:spacing w:line="276" w:lineRule="auto"/>
              <w:ind w:right="-25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728377B0" w14:textId="77777777" w:rsidTr="002D6E3D">
        <w:tc>
          <w:tcPr>
            <w:tcW w:w="550" w:type="dxa"/>
          </w:tcPr>
          <w:p w14:paraId="2A3CA8DE" w14:textId="4B2319F4" w:rsidR="00EB3828" w:rsidRPr="008E56F9" w:rsidRDefault="0064367D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14:paraId="7427103B" w14:textId="3089F5B5" w:rsidR="00EB3828" w:rsidRPr="008E56F9" w:rsidRDefault="0064367D" w:rsidP="002D6E3D">
            <w:pPr>
              <w:spacing w:line="276" w:lineRule="auto"/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 xml:space="preserve">Nama dan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PPK</w:t>
            </w:r>
          </w:p>
        </w:tc>
        <w:tc>
          <w:tcPr>
            <w:tcW w:w="284" w:type="dxa"/>
          </w:tcPr>
          <w:p w14:paraId="19A6A17F" w14:textId="37A3FAF8" w:rsidR="00EB3828" w:rsidRPr="008E56F9" w:rsidRDefault="0064367D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D42B95D" w14:textId="77777777" w:rsidR="00754B1B" w:rsidRPr="00754B1B" w:rsidRDefault="00754B1B" w:rsidP="0075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B1B"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 w:rsidRPr="00754B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4B1B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754B1B">
              <w:rPr>
                <w:rFonts w:ascii="Arial" w:hAnsi="Arial" w:cs="Arial"/>
                <w:sz w:val="24"/>
                <w:szCs w:val="24"/>
              </w:rPr>
              <w:t xml:space="preserve"> Sumatera Utara</w:t>
            </w:r>
          </w:p>
          <w:p w14:paraId="03CE1BC6" w14:textId="14D8D9DB" w:rsidR="00754B1B" w:rsidRPr="00754B1B" w:rsidRDefault="00754B1B" w:rsidP="0075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4B1B">
              <w:rPr>
                <w:rFonts w:ascii="Arial" w:hAnsi="Arial" w:cs="Arial"/>
                <w:sz w:val="24"/>
                <w:szCs w:val="24"/>
              </w:rPr>
              <w:t xml:space="preserve">PA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54B1B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754B1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754B1B">
              <w:rPr>
                <w:rFonts w:ascii="Arial" w:hAnsi="Arial" w:cs="Arial"/>
                <w:sz w:val="24"/>
                <w:szCs w:val="24"/>
              </w:rPr>
              <w:t>Lasro</w:t>
            </w:r>
            <w:proofErr w:type="spellEnd"/>
            <w:r w:rsidRPr="00754B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4B1B">
              <w:rPr>
                <w:rFonts w:ascii="Arial" w:hAnsi="Arial" w:cs="Arial"/>
                <w:sz w:val="24"/>
                <w:szCs w:val="24"/>
              </w:rPr>
              <w:t>Marbun</w:t>
            </w:r>
            <w:proofErr w:type="spellEnd"/>
            <w:r w:rsidRPr="00754B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0C3F7E" w14:textId="5E31D9BC" w:rsidR="00754B1B" w:rsidRPr="00754B1B" w:rsidRDefault="00754B1B" w:rsidP="0075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54B1B">
              <w:rPr>
                <w:rFonts w:ascii="Arial" w:hAnsi="Arial" w:cs="Arial"/>
                <w:sz w:val="24"/>
                <w:szCs w:val="24"/>
              </w:rPr>
              <w:t xml:space="preserve">PPK </w:t>
            </w:r>
            <w:proofErr w:type="gramStart"/>
            <w:r w:rsidRPr="00754B1B"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 w:rsidRPr="00754B1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54B1B">
              <w:rPr>
                <w:rFonts w:ascii="Arial" w:hAnsi="Arial" w:cs="Arial"/>
                <w:sz w:val="24"/>
                <w:szCs w:val="24"/>
              </w:rPr>
              <w:t>Salmarianto</w:t>
            </w:r>
            <w:proofErr w:type="spellEnd"/>
          </w:p>
          <w:p w14:paraId="288E3491" w14:textId="0FFF441F" w:rsidR="002D6E3D" w:rsidRPr="008E56F9" w:rsidRDefault="00754B1B" w:rsidP="00754B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4B1B">
              <w:rPr>
                <w:rFonts w:ascii="Arial" w:hAnsi="Arial" w:cs="Arial"/>
                <w:sz w:val="24"/>
                <w:szCs w:val="24"/>
              </w:rPr>
              <w:t>PPTK :</w:t>
            </w:r>
            <w:proofErr w:type="gramEnd"/>
            <w:r w:rsidRPr="00754B1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976F5">
              <w:rPr>
                <w:rFonts w:ascii="Arial" w:hAnsi="Arial" w:cs="Arial"/>
                <w:sz w:val="24"/>
                <w:szCs w:val="24"/>
              </w:rPr>
              <w:t xml:space="preserve">Jonny </w:t>
            </w:r>
            <w:proofErr w:type="spellStart"/>
            <w:r w:rsidR="002976F5">
              <w:rPr>
                <w:rFonts w:ascii="Arial" w:hAnsi="Arial" w:cs="Arial"/>
                <w:sz w:val="24"/>
                <w:szCs w:val="24"/>
              </w:rPr>
              <w:t>Hasael</w:t>
            </w:r>
            <w:proofErr w:type="spellEnd"/>
            <w:r w:rsidR="002976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76F5">
              <w:rPr>
                <w:rFonts w:ascii="Arial" w:hAnsi="Arial" w:cs="Arial"/>
                <w:sz w:val="24"/>
                <w:szCs w:val="24"/>
              </w:rPr>
              <w:t>Purba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3828" w:rsidRPr="008E56F9" w14:paraId="5D2870D2" w14:textId="77777777" w:rsidTr="002D6E3D">
        <w:tc>
          <w:tcPr>
            <w:tcW w:w="550" w:type="dxa"/>
          </w:tcPr>
          <w:p w14:paraId="4232E771" w14:textId="41AC99D0" w:rsidR="00EB3828" w:rsidRPr="008E56F9" w:rsidRDefault="0064367D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65" w:type="dxa"/>
          </w:tcPr>
          <w:p w14:paraId="35E5A2CF" w14:textId="1BCFC490" w:rsidR="00EB3828" w:rsidRPr="008E56F9" w:rsidRDefault="0064367D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Lingkup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4" w:type="dxa"/>
          </w:tcPr>
          <w:p w14:paraId="45A3A0FC" w14:textId="3CADB350" w:rsidR="00EB3828" w:rsidRPr="008E56F9" w:rsidRDefault="0064367D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E51D425" w14:textId="77777777" w:rsidR="00C60CC2" w:rsidRDefault="00F54C87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penyelenggara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acara (</w:t>
            </w:r>
            <w:r w:rsidRPr="00F54C87">
              <w:rPr>
                <w:rFonts w:ascii="Arial" w:hAnsi="Arial" w:cs="Arial"/>
                <w:i/>
                <w:iCs/>
                <w:sz w:val="24"/>
                <w:szCs w:val="24"/>
              </w:rPr>
              <w:t>even organizer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gambaran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DBB0F3" w14:textId="32201266" w:rsidR="003F1BAD" w:rsidRDefault="003F1BAD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</w:p>
          <w:p w14:paraId="18337BA2" w14:textId="6443487E" w:rsidR="003F1BAD" w:rsidRDefault="003F1BAD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</w:p>
          <w:p w14:paraId="487A0EEE" w14:textId="2FA0900B" w:rsidR="003F1BAD" w:rsidRDefault="003F1BAD" w:rsidP="003F1BAD">
            <w:pPr>
              <w:spacing w:line="276" w:lineRule="auto"/>
              <w:ind w:left="453" w:hanging="4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</w:t>
            </w:r>
            <w:r w:rsidRPr="00FE4959">
              <w:rPr>
                <w:rFonts w:ascii="Arial" w:hAnsi="Arial" w:cs="Arial"/>
                <w:i/>
                <w:iCs/>
                <w:sz w:val="24"/>
                <w:szCs w:val="24"/>
              </w:rPr>
              <w:t>Loading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</w:p>
          <w:p w14:paraId="68256562" w14:textId="7DAF4AC6" w:rsidR="003F1BAD" w:rsidRDefault="003F1BAD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</w:p>
          <w:p w14:paraId="57CED35A" w14:textId="4B64372E" w:rsidR="00272CFE" w:rsidRDefault="003F1BAD" w:rsidP="00272CFE">
            <w:pPr>
              <w:spacing w:line="276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</w:t>
            </w:r>
            <w:r w:rsidR="00272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Acara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76D1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A76D1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="00272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88399E" w14:textId="77777777" w:rsidR="00FE4959" w:rsidRDefault="00FE4959" w:rsidP="00272CFE">
            <w:pPr>
              <w:spacing w:line="276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</w:p>
          <w:p w14:paraId="70705EA3" w14:textId="77777777" w:rsidR="003F1BAD" w:rsidRDefault="003F1BAD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Setelah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</w:p>
          <w:p w14:paraId="767B0D19" w14:textId="19E1996B" w:rsidR="003F1BAD" w:rsidRDefault="003F1BAD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</w:t>
            </w:r>
            <w:r w:rsidR="00FE4959" w:rsidRPr="00FE4959">
              <w:rPr>
                <w:rFonts w:ascii="Arial" w:hAnsi="Arial" w:cs="Arial"/>
                <w:i/>
                <w:iCs/>
                <w:sz w:val="24"/>
                <w:szCs w:val="24"/>
              </w:rPr>
              <w:t>Unloading</w:t>
            </w:r>
            <w:r w:rsidR="00FE4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pembersihan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  <w:p w14:paraId="00330975" w14:textId="7FC0DF48" w:rsidR="00CE629C" w:rsidRDefault="00CE629C" w:rsidP="00CE629C">
            <w:pPr>
              <w:spacing w:line="276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Packing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pengiriman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Inspektorat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Sumatera Utara</w:t>
            </w:r>
          </w:p>
          <w:p w14:paraId="3163CFD2" w14:textId="3507B65E" w:rsidR="00CE629C" w:rsidRPr="003F1BAD" w:rsidRDefault="00CE629C" w:rsidP="003F1BA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64A" w:rsidRPr="008E56F9" w14:paraId="36FD45F8" w14:textId="77777777" w:rsidTr="002D6E3D">
        <w:tc>
          <w:tcPr>
            <w:tcW w:w="550" w:type="dxa"/>
          </w:tcPr>
          <w:p w14:paraId="45E211FB" w14:textId="77777777" w:rsidR="00AD664A" w:rsidRPr="008E56F9" w:rsidRDefault="00AD664A" w:rsidP="00CE62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CD8AC31" w14:textId="77777777" w:rsidR="00AD664A" w:rsidRPr="008E56F9" w:rsidRDefault="00AD664A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529DC1" w14:textId="77777777" w:rsidR="00AD664A" w:rsidRPr="008E56F9" w:rsidRDefault="00AD664A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7AD9AB" w14:textId="77777777" w:rsidR="00AD664A" w:rsidRPr="008E56F9" w:rsidRDefault="00AD664A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735D70B0" w14:textId="77777777" w:rsidTr="002D6E3D">
        <w:tc>
          <w:tcPr>
            <w:tcW w:w="550" w:type="dxa"/>
          </w:tcPr>
          <w:p w14:paraId="737D17B4" w14:textId="765F2D22" w:rsidR="00EB3828" w:rsidRPr="008E56F9" w:rsidRDefault="0064367D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65" w:type="dxa"/>
          </w:tcPr>
          <w:p w14:paraId="2103586B" w14:textId="383AF8E0" w:rsidR="00EB3828" w:rsidRPr="008E56F9" w:rsidRDefault="0011039E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Syarat-Syarat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284" w:type="dxa"/>
          </w:tcPr>
          <w:p w14:paraId="39902851" w14:textId="77777777" w:rsidR="00EB3828" w:rsidRDefault="0064367D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63B673" w14:textId="0E03C0D0" w:rsidR="004A065E" w:rsidRPr="008E56F9" w:rsidRDefault="004A065E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121CC6" w14:textId="1F97447A" w:rsidR="00DE7E6E" w:rsidRPr="00DE7E6E" w:rsidRDefault="004A065E" w:rsidP="004A065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Peserta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harus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izin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menjalankan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usaha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E6E" w:rsidRPr="00DE7E6E">
              <w:rPr>
                <w:rFonts w:ascii="Arial" w:hAnsi="Arial" w:cs="Arial"/>
                <w:sz w:val="24"/>
                <w:szCs w:val="24"/>
              </w:rPr>
              <w:t xml:space="preserve">Jasa Event Organizer (KBLI 82302) </w:t>
            </w:r>
            <w:proofErr w:type="spellStart"/>
            <w:r w:rsidR="00DE7E6E" w:rsidRPr="00DE7E6E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="00DE7E6E" w:rsidRPr="00DE7E6E">
              <w:rPr>
                <w:rFonts w:ascii="Arial" w:hAnsi="Arial" w:cs="Arial"/>
                <w:sz w:val="24"/>
                <w:szCs w:val="24"/>
              </w:rPr>
              <w:t xml:space="preserve"> MICE (Meeting, Incentive Conference, and Exhibition) KBLI 8230;</w:t>
            </w:r>
          </w:p>
          <w:p w14:paraId="2688A364" w14:textId="7DE19C3F" w:rsidR="00DE7E6E" w:rsidRPr="00DE7E6E" w:rsidRDefault="00DE7E6E" w:rsidP="004A065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Kualifikasi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Badan Usaha Kecil/</w:t>
            </w:r>
            <w:proofErr w:type="gramStart"/>
            <w:r w:rsidRPr="00DE7E6E">
              <w:rPr>
                <w:rFonts w:ascii="Arial" w:hAnsi="Arial" w:cs="Arial"/>
                <w:sz w:val="24"/>
                <w:szCs w:val="24"/>
              </w:rPr>
              <w:t>Non Kecil</w:t>
            </w:r>
            <w:proofErr w:type="gramEnd"/>
            <w:r w:rsidRPr="00DE7E6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A7237B0" w14:textId="77777777" w:rsidR="00132E8F" w:rsidRDefault="00132E8F" w:rsidP="004A065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NPWP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status valid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pajak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berdasarkan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konfirmasi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pajak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(KSWP);</w:t>
            </w:r>
          </w:p>
          <w:p w14:paraId="1DD36AE4" w14:textId="77777777" w:rsidR="00132E8F" w:rsidRDefault="00132E8F" w:rsidP="004A065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Mempunyai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menguasai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usaha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kantor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yan</w:t>
            </w: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benar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tetap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jelas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berupa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milik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sendiri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sewa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F69E0D" w14:textId="77777777" w:rsidR="00132E8F" w:rsidRDefault="00132E8F" w:rsidP="004A065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akta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pendirian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perusahaan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perubahannya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melampirkan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AHU;</w:t>
            </w:r>
          </w:p>
          <w:p w14:paraId="45B70BE6" w14:textId="127D88B8" w:rsidR="00DE7E6E" w:rsidRDefault="00132E8F" w:rsidP="004A065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Penyedia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pengalaman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8F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132E8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680F92" w14:textId="77777777" w:rsidR="00DE7E6E" w:rsidRPr="00DE7E6E" w:rsidRDefault="00DE7E6E" w:rsidP="004A065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4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minimal 5 kali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pengalaman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melaksanakan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event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pemerintahan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431AC0" w14:textId="2C6F7F01" w:rsidR="00DE7E6E" w:rsidRPr="00DE7E6E" w:rsidRDefault="00DE7E6E" w:rsidP="004A065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594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minimal 1 orang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tenaga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bersertifikasi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profesi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MICE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Badan Nasional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Sertifikasi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Profesi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5B0862" w14:textId="279822D8" w:rsidR="00EB3828" w:rsidRPr="00DE7E6E" w:rsidRDefault="00EB3828" w:rsidP="00DE7E6E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28" w:rsidRPr="008E56F9" w14:paraId="4202194C" w14:textId="77777777" w:rsidTr="002D6E3D">
        <w:tc>
          <w:tcPr>
            <w:tcW w:w="550" w:type="dxa"/>
          </w:tcPr>
          <w:p w14:paraId="62B90F04" w14:textId="56E219EF" w:rsidR="00EB3828" w:rsidRPr="008E56F9" w:rsidRDefault="00A242BF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65" w:type="dxa"/>
          </w:tcPr>
          <w:p w14:paraId="7081E8B0" w14:textId="4B018C78" w:rsidR="00EB3828" w:rsidRPr="008E56F9" w:rsidRDefault="0011039E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Syarat-Syarat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Teknis</w:t>
            </w:r>
          </w:p>
        </w:tc>
        <w:tc>
          <w:tcPr>
            <w:tcW w:w="284" w:type="dxa"/>
          </w:tcPr>
          <w:p w14:paraId="42C898C8" w14:textId="3F5C0ECF" w:rsidR="00EB3828" w:rsidRPr="008E56F9" w:rsidRDefault="00A242BF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941CAC5" w14:textId="77777777" w:rsidR="00C42F5A" w:rsidRDefault="00DE7E6E" w:rsidP="00C42F5A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F5A">
              <w:rPr>
                <w:rFonts w:ascii="Arial" w:hAnsi="Arial" w:cs="Arial"/>
                <w:sz w:val="24"/>
                <w:szCs w:val="24"/>
              </w:rPr>
              <w:t xml:space="preserve">Jadwal dan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jangka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waktu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sampai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serah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terima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34B3A71" w14:textId="77777777" w:rsidR="00C42F5A" w:rsidRDefault="00DE7E6E" w:rsidP="00DE7E6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F5A">
              <w:rPr>
                <w:rFonts w:ascii="Arial" w:hAnsi="Arial" w:cs="Arial"/>
                <w:sz w:val="24"/>
                <w:szCs w:val="24"/>
              </w:rPr>
              <w:t xml:space="preserve">Metode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tahapan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="004A065E"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Pra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dan Pasca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7EC1507" w14:textId="77777777" w:rsidR="00C42F5A" w:rsidRDefault="00DE7E6E" w:rsidP="00DE7E6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Menyampaikan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spesifikasi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teknis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ditawarkan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6A69BBF" w14:textId="4DAAF0EC" w:rsidR="00DE7E6E" w:rsidRPr="00C42F5A" w:rsidRDefault="00DE7E6E" w:rsidP="00DE7E6E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Melampirkan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memakai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materai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10.000 dan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dicap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basah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>),</w:t>
            </w:r>
            <w:r w:rsid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F5A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memuat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rincian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Volume dan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Spesifikasi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Teknis,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F5A">
              <w:rPr>
                <w:rFonts w:ascii="Arial" w:hAnsi="Arial" w:cs="Arial"/>
                <w:sz w:val="24"/>
                <w:szCs w:val="24"/>
              </w:rPr>
              <w:t>vendor:</w:t>
            </w:r>
          </w:p>
          <w:p w14:paraId="09A9348C" w14:textId="77777777" w:rsidR="00C42F5A" w:rsidRDefault="00DE7E6E" w:rsidP="00DE7E6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F5A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Sanggar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Musik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Tradisional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berdomisili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di</w:t>
            </w:r>
            <w:r w:rsid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Sumatera Utara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Pr="00C42F5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87D2E" w14:textId="77777777" w:rsidR="00A54B02" w:rsidRPr="00A54B02" w:rsidRDefault="00A54B02" w:rsidP="00A54B0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3615E" w14:textId="77777777" w:rsidR="00C42F5A" w:rsidRDefault="00DE7E6E" w:rsidP="00DE7E6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F5A">
              <w:rPr>
                <w:rFonts w:ascii="Arial" w:hAnsi="Arial" w:cs="Arial"/>
                <w:sz w:val="24"/>
                <w:szCs w:val="24"/>
              </w:rPr>
              <w:lastRenderedPageBreak/>
              <w:t xml:space="preserve">Surat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Sanggar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tari/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penampilan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kesenian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yang</w:t>
            </w:r>
            <w:r w:rsid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berdomisili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Sumatera Utara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Acara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Pr="00C42F5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AC4655" w14:textId="77777777" w:rsidR="00C42F5A" w:rsidRDefault="00DE7E6E" w:rsidP="00DE7E6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F5A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F5A">
              <w:rPr>
                <w:rFonts w:ascii="Arial" w:hAnsi="Arial" w:cs="Arial"/>
                <w:sz w:val="24"/>
                <w:szCs w:val="24"/>
              </w:rPr>
              <w:t xml:space="preserve">artis </w:t>
            </w:r>
            <w:proofErr w:type="spellStart"/>
            <w:r w:rsidR="00C42F5A"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 w:rsidR="00C42F5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2C6C90" w14:textId="2D2896A0" w:rsidR="00DE7E6E" w:rsidRPr="00C42F5A" w:rsidRDefault="00DE7E6E" w:rsidP="00DE7E6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F5A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dukungan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>
              <w:rPr>
                <w:rFonts w:ascii="Arial" w:hAnsi="Arial" w:cs="Arial"/>
                <w:sz w:val="24"/>
                <w:szCs w:val="24"/>
              </w:rPr>
              <w:t>penyediaan</w:t>
            </w:r>
            <w:proofErr w:type="spellEnd"/>
            <w:r w:rsid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perlengkapan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A53">
              <w:rPr>
                <w:rFonts w:ascii="Arial" w:hAnsi="Arial" w:cs="Arial"/>
                <w:sz w:val="24"/>
                <w:szCs w:val="24"/>
              </w:rPr>
              <w:t>Venu</w:t>
            </w:r>
            <w:r w:rsidR="00894ABB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42F5A" w:rsidRPr="00AB1CF8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="00C42F5A" w:rsidRPr="00AB1CF8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 w:rsidR="00C42F5A" w:rsidRPr="00C42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F5A"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 w:rsidRPr="00C42F5A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C42F5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623731" w14:textId="77777777" w:rsidR="00C42F5A" w:rsidRDefault="00DE7E6E" w:rsidP="00C42F5A">
            <w:pPr>
              <w:spacing w:line="276" w:lineRule="auto"/>
              <w:ind w:left="87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6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Dekorasi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Panggung</w:t>
            </w:r>
            <w:proofErr w:type="spellEnd"/>
          </w:p>
          <w:p w14:paraId="5B3898EB" w14:textId="251CC58E" w:rsidR="00401D47" w:rsidRDefault="00401D47" w:rsidP="00C42F5A">
            <w:pPr>
              <w:spacing w:line="276" w:lineRule="auto"/>
              <w:ind w:left="87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Rigging area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panggung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A025A3" w14:textId="77777777" w:rsidR="00C42F5A" w:rsidRDefault="00DE7E6E" w:rsidP="00C42F5A">
            <w:pPr>
              <w:spacing w:line="276" w:lineRule="auto"/>
              <w:ind w:left="87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6E">
              <w:rPr>
                <w:rFonts w:ascii="Arial" w:hAnsi="Arial" w:cs="Arial"/>
                <w:sz w:val="24"/>
                <w:szCs w:val="24"/>
              </w:rPr>
              <w:t>- Photobooth</w:t>
            </w:r>
          </w:p>
          <w:p w14:paraId="694F4BE9" w14:textId="77777777" w:rsidR="00C42F5A" w:rsidRDefault="00DE7E6E" w:rsidP="00C42F5A">
            <w:pPr>
              <w:spacing w:line="276" w:lineRule="auto"/>
              <w:ind w:left="87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E6E">
              <w:rPr>
                <w:rFonts w:ascii="Arial" w:hAnsi="Arial" w:cs="Arial"/>
                <w:sz w:val="24"/>
                <w:szCs w:val="24"/>
              </w:rPr>
              <w:t>- Sewa Lighting System</w:t>
            </w:r>
          </w:p>
          <w:p w14:paraId="536BA7BB" w14:textId="0247770E" w:rsidR="00DE7E6E" w:rsidRDefault="00DE7E6E" w:rsidP="00D17535">
            <w:pPr>
              <w:spacing w:line="276" w:lineRule="auto"/>
              <w:ind w:left="878" w:hanging="142"/>
              <w:rPr>
                <w:rFonts w:ascii="Arial" w:hAnsi="Arial" w:cs="Arial"/>
                <w:sz w:val="24"/>
                <w:szCs w:val="24"/>
              </w:rPr>
            </w:pPr>
            <w:r w:rsidRPr="00DE7E6E">
              <w:rPr>
                <w:rFonts w:ascii="Arial" w:hAnsi="Arial" w:cs="Arial"/>
                <w:sz w:val="24"/>
                <w:szCs w:val="24"/>
              </w:rPr>
              <w:t>-</w:t>
            </w:r>
            <w:r w:rsidR="00D175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F5A">
              <w:rPr>
                <w:rFonts w:ascii="Arial" w:hAnsi="Arial" w:cs="Arial"/>
                <w:sz w:val="24"/>
                <w:szCs w:val="24"/>
              </w:rPr>
              <w:t xml:space="preserve">Sewa </w:t>
            </w:r>
            <w:r w:rsidRPr="00DE7E6E">
              <w:rPr>
                <w:rFonts w:ascii="Arial" w:hAnsi="Arial" w:cs="Arial"/>
                <w:sz w:val="24"/>
                <w:szCs w:val="24"/>
              </w:rPr>
              <w:t xml:space="preserve">Generator Set </w:t>
            </w:r>
            <w:r w:rsidR="00D17535">
              <w:rPr>
                <w:rFonts w:ascii="Arial" w:hAnsi="Arial" w:cs="Arial"/>
                <w:sz w:val="24"/>
                <w:szCs w:val="24"/>
              </w:rPr>
              <w:t>60</w:t>
            </w:r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kva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7E6E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DE7E6E">
              <w:rPr>
                <w:rFonts w:ascii="Arial" w:hAnsi="Arial" w:cs="Arial"/>
                <w:sz w:val="24"/>
                <w:szCs w:val="24"/>
              </w:rPr>
              <w:t xml:space="preserve"> Sound System</w:t>
            </w:r>
            <w:r w:rsidR="00D1753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17535" w:rsidRPr="00D17535">
              <w:rPr>
                <w:rFonts w:ascii="Arial" w:hAnsi="Arial" w:cs="Arial"/>
                <w:sz w:val="24"/>
                <w:szCs w:val="24"/>
              </w:rPr>
              <w:t>Lighting</w:t>
            </w:r>
            <w:r w:rsidR="00D17535">
              <w:rPr>
                <w:rFonts w:ascii="Arial" w:hAnsi="Arial" w:cs="Arial"/>
                <w:sz w:val="24"/>
                <w:szCs w:val="24"/>
              </w:rPr>
              <w:t xml:space="preserve"> dan </w:t>
            </w:r>
            <w:r w:rsidR="00D17535" w:rsidRPr="00D17535">
              <w:rPr>
                <w:rFonts w:ascii="Arial" w:hAnsi="Arial" w:cs="Arial"/>
                <w:sz w:val="24"/>
                <w:szCs w:val="24"/>
              </w:rPr>
              <w:t>LED</w:t>
            </w:r>
            <w:r w:rsidRPr="00DE7E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99F96A" w14:textId="3A6E74EF" w:rsidR="001D1710" w:rsidRPr="003656A6" w:rsidRDefault="003656A6" w:rsidP="003656A6">
            <w:pPr>
              <w:spacing w:line="276" w:lineRule="auto"/>
              <w:ind w:left="878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Sewa Tenda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Kerucut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pameran</w:t>
            </w:r>
            <w:proofErr w:type="spellEnd"/>
          </w:p>
        </w:tc>
      </w:tr>
      <w:tr w:rsidR="00740A53" w:rsidRPr="008E56F9" w14:paraId="60BAA0A7" w14:textId="77777777" w:rsidTr="002D6E3D">
        <w:tc>
          <w:tcPr>
            <w:tcW w:w="550" w:type="dxa"/>
          </w:tcPr>
          <w:p w14:paraId="417E31DD" w14:textId="55D9A14C" w:rsidR="00740A53" w:rsidRPr="008E56F9" w:rsidRDefault="00740A53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65" w:type="dxa"/>
          </w:tcPr>
          <w:p w14:paraId="214BC953" w14:textId="1DEA679F" w:rsidR="00740A53" w:rsidRDefault="00740A53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284" w:type="dxa"/>
          </w:tcPr>
          <w:p w14:paraId="7377270D" w14:textId="77777777" w:rsidR="00740A53" w:rsidRPr="008E56F9" w:rsidRDefault="00740A53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221CE0" w14:textId="4FE6389E" w:rsidR="00740A53" w:rsidRPr="00740A53" w:rsidRDefault="00894ABB" w:rsidP="00740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Hasil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diperoleh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berupa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terselenggaranya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1CF8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1CF8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AB1C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1CF8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AB1CF8">
              <w:rPr>
                <w:rFonts w:ascii="Arial" w:hAnsi="Arial" w:cs="Arial"/>
                <w:sz w:val="24"/>
                <w:szCs w:val="24"/>
              </w:rPr>
              <w:t xml:space="preserve"> Nasional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terpenuhinya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pelaporan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berlaku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0A53" w:rsidRPr="008E56F9" w14:paraId="1A0F0F13" w14:textId="77777777" w:rsidTr="002D6E3D">
        <w:tc>
          <w:tcPr>
            <w:tcW w:w="550" w:type="dxa"/>
          </w:tcPr>
          <w:p w14:paraId="3438A373" w14:textId="77777777" w:rsidR="00740A53" w:rsidRDefault="00740A53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BE33696" w14:textId="77777777" w:rsidR="00740A53" w:rsidRDefault="00740A53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B20117" w14:textId="77777777" w:rsidR="00740A53" w:rsidRPr="008E56F9" w:rsidRDefault="00740A53" w:rsidP="008E56F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E0BF14" w14:textId="77777777" w:rsidR="00740A53" w:rsidRPr="00740A53" w:rsidRDefault="00740A53" w:rsidP="00740A5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A61E9" w14:textId="701B0D52" w:rsidR="002D6218" w:rsidRPr="008E56F9" w:rsidRDefault="002D6218" w:rsidP="008E56F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2D6218" w:rsidRPr="008E56F9" w14:paraId="624E435C" w14:textId="77777777" w:rsidTr="006067D8">
        <w:tc>
          <w:tcPr>
            <w:tcW w:w="4697" w:type="dxa"/>
          </w:tcPr>
          <w:p w14:paraId="1A510F54" w14:textId="77777777" w:rsidR="002D6218" w:rsidRPr="008E56F9" w:rsidRDefault="002D6218" w:rsidP="008E56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DEFF0" w14:textId="77777777" w:rsidR="007D4E7F" w:rsidRPr="007D4E7F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E7F">
              <w:rPr>
                <w:rFonts w:ascii="Arial" w:hAnsi="Arial" w:cs="Arial"/>
                <w:sz w:val="24"/>
                <w:szCs w:val="24"/>
              </w:rPr>
              <w:t>Diketahui</w:t>
            </w:r>
            <w:proofErr w:type="spellEnd"/>
            <w:r w:rsidRPr="007D4E7F">
              <w:rPr>
                <w:rFonts w:ascii="Arial" w:hAnsi="Arial" w:cs="Arial"/>
                <w:sz w:val="24"/>
                <w:szCs w:val="24"/>
              </w:rPr>
              <w:t xml:space="preserve"> Oleh:</w:t>
            </w:r>
          </w:p>
          <w:p w14:paraId="2C5AD003" w14:textId="3F139DE1" w:rsidR="007D4E7F" w:rsidRPr="007D4E7F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Pengguna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Pr="007D4E7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2EAC674" w14:textId="77777777" w:rsidR="007D4E7F" w:rsidRPr="007D4E7F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</w:p>
          <w:p w14:paraId="73CC0EED" w14:textId="77777777" w:rsidR="007D4E7F" w:rsidRPr="007D4E7F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</w:p>
          <w:p w14:paraId="7665A28A" w14:textId="77777777" w:rsidR="007D4E7F" w:rsidRPr="007D4E7F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</w:p>
          <w:p w14:paraId="34197F7F" w14:textId="77777777" w:rsidR="007D4E7F" w:rsidRPr="007D4E7F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4E7F">
              <w:rPr>
                <w:rFonts w:ascii="Arial" w:hAnsi="Arial" w:cs="Arial"/>
                <w:sz w:val="24"/>
                <w:szCs w:val="24"/>
              </w:rPr>
              <w:t>Lasro</w:t>
            </w:r>
            <w:proofErr w:type="spellEnd"/>
            <w:r w:rsidRPr="007D4E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D4E7F">
              <w:rPr>
                <w:rFonts w:ascii="Arial" w:hAnsi="Arial" w:cs="Arial"/>
                <w:sz w:val="24"/>
                <w:szCs w:val="24"/>
              </w:rPr>
              <w:t>Marbun</w:t>
            </w:r>
            <w:proofErr w:type="spellEnd"/>
          </w:p>
          <w:p w14:paraId="106D53E3" w14:textId="513CEC40" w:rsidR="002D6218" w:rsidRPr="008E56F9" w:rsidRDefault="007D4E7F" w:rsidP="007D4E7F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7D4E7F">
              <w:rPr>
                <w:rFonts w:ascii="Arial" w:hAnsi="Arial" w:cs="Arial"/>
                <w:sz w:val="24"/>
                <w:szCs w:val="24"/>
              </w:rPr>
              <w:t>NIP. 19641201 198701 1 002</w:t>
            </w:r>
          </w:p>
        </w:tc>
        <w:tc>
          <w:tcPr>
            <w:tcW w:w="4698" w:type="dxa"/>
          </w:tcPr>
          <w:p w14:paraId="0618F979" w14:textId="77777777" w:rsidR="002D6218" w:rsidRPr="008E56F9" w:rsidRDefault="002D6218" w:rsidP="008E56F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75646" w14:textId="5D19746F" w:rsidR="002D6218" w:rsidRPr="008E56F9" w:rsidRDefault="00A067DD" w:rsidP="008E56F9">
            <w:pPr>
              <w:spacing w:line="276" w:lineRule="auto"/>
              <w:ind w:firstLine="5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Dibuat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Oleh</w:t>
            </w:r>
            <w:r w:rsidR="002D6218" w:rsidRPr="008E56F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B258191" w14:textId="25E6BDAB" w:rsidR="002D6218" w:rsidRPr="008E56F9" w:rsidRDefault="004209FF" w:rsidP="008E56F9">
            <w:pPr>
              <w:spacing w:line="276" w:lineRule="auto"/>
              <w:ind w:firstLine="58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Pembuat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Komitmen</w:t>
            </w:r>
            <w:proofErr w:type="spellEnd"/>
            <w:r w:rsidR="002D6218" w:rsidRPr="008E56F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8E84BC0" w14:textId="77777777" w:rsidR="002D6218" w:rsidRPr="008E56F9" w:rsidRDefault="002D6218" w:rsidP="008E56F9">
            <w:pPr>
              <w:spacing w:line="276" w:lineRule="auto"/>
              <w:ind w:firstLine="587"/>
              <w:rPr>
                <w:rFonts w:ascii="Arial" w:hAnsi="Arial" w:cs="Arial"/>
                <w:sz w:val="24"/>
                <w:szCs w:val="24"/>
              </w:rPr>
            </w:pPr>
          </w:p>
          <w:p w14:paraId="42AEE7CE" w14:textId="77777777" w:rsidR="002D6218" w:rsidRPr="008E56F9" w:rsidRDefault="002D6218" w:rsidP="008E56F9">
            <w:pPr>
              <w:spacing w:line="276" w:lineRule="auto"/>
              <w:ind w:firstLine="587"/>
              <w:rPr>
                <w:rFonts w:ascii="Arial" w:hAnsi="Arial" w:cs="Arial"/>
                <w:sz w:val="24"/>
                <w:szCs w:val="24"/>
              </w:rPr>
            </w:pPr>
          </w:p>
          <w:p w14:paraId="4AFFA89F" w14:textId="77777777" w:rsidR="002D6218" w:rsidRPr="008E56F9" w:rsidRDefault="002D6218" w:rsidP="008E56F9">
            <w:pPr>
              <w:spacing w:line="276" w:lineRule="auto"/>
              <w:ind w:firstLine="587"/>
              <w:rPr>
                <w:rFonts w:ascii="Arial" w:hAnsi="Arial" w:cs="Arial"/>
                <w:sz w:val="24"/>
                <w:szCs w:val="24"/>
              </w:rPr>
            </w:pPr>
          </w:p>
          <w:p w14:paraId="7824B2A2" w14:textId="77777777" w:rsidR="004209FF" w:rsidRPr="008E56F9" w:rsidRDefault="004209FF" w:rsidP="008E56F9">
            <w:pPr>
              <w:spacing w:line="276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56F9">
              <w:rPr>
                <w:rFonts w:ascii="Arial" w:hAnsi="Arial" w:cs="Arial"/>
                <w:sz w:val="24"/>
                <w:szCs w:val="24"/>
              </w:rPr>
              <w:t>Salmarianto</w:t>
            </w:r>
            <w:proofErr w:type="spellEnd"/>
            <w:r w:rsidRPr="008E56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9D157D" w14:textId="13F5D679" w:rsidR="00FE7BEF" w:rsidRPr="008E56F9" w:rsidRDefault="002D6218" w:rsidP="008E56F9">
            <w:pPr>
              <w:spacing w:line="276" w:lineRule="auto"/>
              <w:ind w:firstLine="587"/>
              <w:rPr>
                <w:rFonts w:ascii="Arial" w:hAnsi="Arial" w:cs="Arial"/>
                <w:sz w:val="24"/>
                <w:szCs w:val="24"/>
              </w:rPr>
            </w:pPr>
            <w:r w:rsidRPr="008E56F9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="004209FF" w:rsidRPr="008E56F9">
              <w:rPr>
                <w:rFonts w:ascii="Arial" w:hAnsi="Arial" w:cs="Arial"/>
                <w:sz w:val="24"/>
                <w:szCs w:val="24"/>
              </w:rPr>
              <w:t>19820101200904 1011</w:t>
            </w:r>
          </w:p>
        </w:tc>
      </w:tr>
    </w:tbl>
    <w:p w14:paraId="58DAEF5C" w14:textId="7C37B2D5" w:rsidR="002D6218" w:rsidRPr="008E56F9" w:rsidRDefault="002D6218" w:rsidP="008E56F9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D6218" w:rsidRPr="008E56F9" w:rsidSect="008E56F9">
      <w:footerReference w:type="default" r:id="rId7"/>
      <w:pgSz w:w="11907" w:h="16840" w:code="9"/>
      <w:pgMar w:top="1474" w:right="1418" w:bottom="1418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7540" w14:textId="77777777" w:rsidR="006134F2" w:rsidRDefault="006134F2" w:rsidP="0056794C">
      <w:pPr>
        <w:spacing w:after="0" w:line="240" w:lineRule="auto"/>
      </w:pPr>
      <w:r>
        <w:separator/>
      </w:r>
    </w:p>
  </w:endnote>
  <w:endnote w:type="continuationSeparator" w:id="0">
    <w:p w14:paraId="4108A510" w14:textId="77777777" w:rsidR="006134F2" w:rsidRDefault="006134F2" w:rsidP="0056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96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B3D1A" w14:textId="2D749A49" w:rsidR="0056794C" w:rsidRDefault="005679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F4EE9" w14:textId="77777777" w:rsidR="0056794C" w:rsidRDefault="00567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3552" w14:textId="77777777" w:rsidR="006134F2" w:rsidRDefault="006134F2" w:rsidP="0056794C">
      <w:pPr>
        <w:spacing w:after="0" w:line="240" w:lineRule="auto"/>
      </w:pPr>
      <w:r>
        <w:separator/>
      </w:r>
    </w:p>
  </w:footnote>
  <w:footnote w:type="continuationSeparator" w:id="0">
    <w:p w14:paraId="6C6C2732" w14:textId="77777777" w:rsidR="006134F2" w:rsidRDefault="006134F2" w:rsidP="0056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4B6"/>
    <w:multiLevelType w:val="hybridMultilevel"/>
    <w:tmpl w:val="FD58D6AE"/>
    <w:lvl w:ilvl="0" w:tplc="D284AD2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7AB6"/>
    <w:multiLevelType w:val="hybridMultilevel"/>
    <w:tmpl w:val="F54631DA"/>
    <w:lvl w:ilvl="0" w:tplc="3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0AE51FD5"/>
    <w:multiLevelType w:val="hybridMultilevel"/>
    <w:tmpl w:val="C212CDFE"/>
    <w:lvl w:ilvl="0" w:tplc="38090019">
      <w:start w:val="1"/>
      <w:numFmt w:val="lowerLetter"/>
      <w:lvlText w:val="%1."/>
      <w:lvlJc w:val="left"/>
      <w:pPr>
        <w:ind w:left="784" w:hanging="360"/>
      </w:pPr>
    </w:lvl>
    <w:lvl w:ilvl="1" w:tplc="38090019" w:tentative="1">
      <w:start w:val="1"/>
      <w:numFmt w:val="lowerLetter"/>
      <w:lvlText w:val="%2."/>
      <w:lvlJc w:val="left"/>
      <w:pPr>
        <w:ind w:left="1504" w:hanging="360"/>
      </w:pPr>
    </w:lvl>
    <w:lvl w:ilvl="2" w:tplc="3809001B" w:tentative="1">
      <w:start w:val="1"/>
      <w:numFmt w:val="lowerRoman"/>
      <w:lvlText w:val="%3."/>
      <w:lvlJc w:val="right"/>
      <w:pPr>
        <w:ind w:left="2224" w:hanging="180"/>
      </w:pPr>
    </w:lvl>
    <w:lvl w:ilvl="3" w:tplc="3809000F" w:tentative="1">
      <w:start w:val="1"/>
      <w:numFmt w:val="decimal"/>
      <w:lvlText w:val="%4."/>
      <w:lvlJc w:val="left"/>
      <w:pPr>
        <w:ind w:left="2944" w:hanging="360"/>
      </w:pPr>
    </w:lvl>
    <w:lvl w:ilvl="4" w:tplc="38090019" w:tentative="1">
      <w:start w:val="1"/>
      <w:numFmt w:val="lowerLetter"/>
      <w:lvlText w:val="%5."/>
      <w:lvlJc w:val="left"/>
      <w:pPr>
        <w:ind w:left="3664" w:hanging="360"/>
      </w:pPr>
    </w:lvl>
    <w:lvl w:ilvl="5" w:tplc="3809001B" w:tentative="1">
      <w:start w:val="1"/>
      <w:numFmt w:val="lowerRoman"/>
      <w:lvlText w:val="%6."/>
      <w:lvlJc w:val="right"/>
      <w:pPr>
        <w:ind w:left="4384" w:hanging="180"/>
      </w:pPr>
    </w:lvl>
    <w:lvl w:ilvl="6" w:tplc="3809000F" w:tentative="1">
      <w:start w:val="1"/>
      <w:numFmt w:val="decimal"/>
      <w:lvlText w:val="%7."/>
      <w:lvlJc w:val="left"/>
      <w:pPr>
        <w:ind w:left="5104" w:hanging="360"/>
      </w:pPr>
    </w:lvl>
    <w:lvl w:ilvl="7" w:tplc="38090019" w:tentative="1">
      <w:start w:val="1"/>
      <w:numFmt w:val="lowerLetter"/>
      <w:lvlText w:val="%8."/>
      <w:lvlJc w:val="left"/>
      <w:pPr>
        <w:ind w:left="5824" w:hanging="360"/>
      </w:pPr>
    </w:lvl>
    <w:lvl w:ilvl="8" w:tplc="3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EA86E1F"/>
    <w:multiLevelType w:val="hybridMultilevel"/>
    <w:tmpl w:val="E2B0FE4C"/>
    <w:lvl w:ilvl="0" w:tplc="3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 w15:restartNumberingAfterBreak="0">
    <w:nsid w:val="100B2476"/>
    <w:multiLevelType w:val="hybridMultilevel"/>
    <w:tmpl w:val="DED8B2B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6BA5"/>
    <w:multiLevelType w:val="hybridMultilevel"/>
    <w:tmpl w:val="D17AE88C"/>
    <w:lvl w:ilvl="0" w:tplc="38090019">
      <w:start w:val="1"/>
      <w:numFmt w:val="lowerLetter"/>
      <w:lvlText w:val="%1."/>
      <w:lvlJc w:val="left"/>
      <w:pPr>
        <w:ind w:left="756" w:hanging="360"/>
      </w:pPr>
    </w:lvl>
    <w:lvl w:ilvl="1" w:tplc="38090019" w:tentative="1">
      <w:start w:val="1"/>
      <w:numFmt w:val="lowerLetter"/>
      <w:lvlText w:val="%2."/>
      <w:lvlJc w:val="left"/>
      <w:pPr>
        <w:ind w:left="1476" w:hanging="360"/>
      </w:pPr>
    </w:lvl>
    <w:lvl w:ilvl="2" w:tplc="3809001B" w:tentative="1">
      <w:start w:val="1"/>
      <w:numFmt w:val="lowerRoman"/>
      <w:lvlText w:val="%3."/>
      <w:lvlJc w:val="right"/>
      <w:pPr>
        <w:ind w:left="2196" w:hanging="180"/>
      </w:pPr>
    </w:lvl>
    <w:lvl w:ilvl="3" w:tplc="3809000F" w:tentative="1">
      <w:start w:val="1"/>
      <w:numFmt w:val="decimal"/>
      <w:lvlText w:val="%4."/>
      <w:lvlJc w:val="left"/>
      <w:pPr>
        <w:ind w:left="2916" w:hanging="360"/>
      </w:pPr>
    </w:lvl>
    <w:lvl w:ilvl="4" w:tplc="38090019" w:tentative="1">
      <w:start w:val="1"/>
      <w:numFmt w:val="lowerLetter"/>
      <w:lvlText w:val="%5."/>
      <w:lvlJc w:val="left"/>
      <w:pPr>
        <w:ind w:left="3636" w:hanging="360"/>
      </w:pPr>
    </w:lvl>
    <w:lvl w:ilvl="5" w:tplc="3809001B" w:tentative="1">
      <w:start w:val="1"/>
      <w:numFmt w:val="lowerRoman"/>
      <w:lvlText w:val="%6."/>
      <w:lvlJc w:val="right"/>
      <w:pPr>
        <w:ind w:left="4356" w:hanging="180"/>
      </w:pPr>
    </w:lvl>
    <w:lvl w:ilvl="6" w:tplc="3809000F" w:tentative="1">
      <w:start w:val="1"/>
      <w:numFmt w:val="decimal"/>
      <w:lvlText w:val="%7."/>
      <w:lvlJc w:val="left"/>
      <w:pPr>
        <w:ind w:left="5076" w:hanging="360"/>
      </w:pPr>
    </w:lvl>
    <w:lvl w:ilvl="7" w:tplc="38090019" w:tentative="1">
      <w:start w:val="1"/>
      <w:numFmt w:val="lowerLetter"/>
      <w:lvlText w:val="%8."/>
      <w:lvlJc w:val="left"/>
      <w:pPr>
        <w:ind w:left="5796" w:hanging="360"/>
      </w:pPr>
    </w:lvl>
    <w:lvl w:ilvl="8" w:tplc="3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11326AD8"/>
    <w:multiLevelType w:val="hybridMultilevel"/>
    <w:tmpl w:val="5AFE41BC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13C63A3A"/>
    <w:multiLevelType w:val="hybridMultilevel"/>
    <w:tmpl w:val="2572D4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74BFA"/>
    <w:multiLevelType w:val="hybridMultilevel"/>
    <w:tmpl w:val="F74A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C92"/>
    <w:multiLevelType w:val="hybridMultilevel"/>
    <w:tmpl w:val="EF0075D6"/>
    <w:lvl w:ilvl="0" w:tplc="D284AD2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0551"/>
    <w:multiLevelType w:val="hybridMultilevel"/>
    <w:tmpl w:val="2572D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21A2"/>
    <w:multiLevelType w:val="hybridMultilevel"/>
    <w:tmpl w:val="E004A2C8"/>
    <w:lvl w:ilvl="0" w:tplc="EC8A20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134F"/>
    <w:multiLevelType w:val="hybridMultilevel"/>
    <w:tmpl w:val="BFAE1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452D7"/>
    <w:multiLevelType w:val="hybridMultilevel"/>
    <w:tmpl w:val="C212CDFE"/>
    <w:lvl w:ilvl="0" w:tplc="38090019">
      <w:start w:val="1"/>
      <w:numFmt w:val="lowerLetter"/>
      <w:lvlText w:val="%1."/>
      <w:lvlJc w:val="left"/>
      <w:pPr>
        <w:ind w:left="784" w:hanging="360"/>
      </w:pPr>
    </w:lvl>
    <w:lvl w:ilvl="1" w:tplc="38090019" w:tentative="1">
      <w:start w:val="1"/>
      <w:numFmt w:val="lowerLetter"/>
      <w:lvlText w:val="%2."/>
      <w:lvlJc w:val="left"/>
      <w:pPr>
        <w:ind w:left="1504" w:hanging="360"/>
      </w:pPr>
    </w:lvl>
    <w:lvl w:ilvl="2" w:tplc="3809001B" w:tentative="1">
      <w:start w:val="1"/>
      <w:numFmt w:val="lowerRoman"/>
      <w:lvlText w:val="%3."/>
      <w:lvlJc w:val="right"/>
      <w:pPr>
        <w:ind w:left="2224" w:hanging="180"/>
      </w:pPr>
    </w:lvl>
    <w:lvl w:ilvl="3" w:tplc="3809000F" w:tentative="1">
      <w:start w:val="1"/>
      <w:numFmt w:val="decimal"/>
      <w:lvlText w:val="%4."/>
      <w:lvlJc w:val="left"/>
      <w:pPr>
        <w:ind w:left="2944" w:hanging="360"/>
      </w:pPr>
    </w:lvl>
    <w:lvl w:ilvl="4" w:tplc="38090019" w:tentative="1">
      <w:start w:val="1"/>
      <w:numFmt w:val="lowerLetter"/>
      <w:lvlText w:val="%5."/>
      <w:lvlJc w:val="left"/>
      <w:pPr>
        <w:ind w:left="3664" w:hanging="360"/>
      </w:pPr>
    </w:lvl>
    <w:lvl w:ilvl="5" w:tplc="3809001B" w:tentative="1">
      <w:start w:val="1"/>
      <w:numFmt w:val="lowerRoman"/>
      <w:lvlText w:val="%6."/>
      <w:lvlJc w:val="right"/>
      <w:pPr>
        <w:ind w:left="4384" w:hanging="180"/>
      </w:pPr>
    </w:lvl>
    <w:lvl w:ilvl="6" w:tplc="3809000F" w:tentative="1">
      <w:start w:val="1"/>
      <w:numFmt w:val="decimal"/>
      <w:lvlText w:val="%7."/>
      <w:lvlJc w:val="left"/>
      <w:pPr>
        <w:ind w:left="5104" w:hanging="360"/>
      </w:pPr>
    </w:lvl>
    <w:lvl w:ilvl="7" w:tplc="38090019" w:tentative="1">
      <w:start w:val="1"/>
      <w:numFmt w:val="lowerLetter"/>
      <w:lvlText w:val="%8."/>
      <w:lvlJc w:val="left"/>
      <w:pPr>
        <w:ind w:left="5824" w:hanging="360"/>
      </w:pPr>
    </w:lvl>
    <w:lvl w:ilvl="8" w:tplc="3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354376D"/>
    <w:multiLevelType w:val="hybridMultilevel"/>
    <w:tmpl w:val="4394E228"/>
    <w:lvl w:ilvl="0" w:tplc="3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444C573A"/>
    <w:multiLevelType w:val="hybridMultilevel"/>
    <w:tmpl w:val="19EA81F6"/>
    <w:lvl w:ilvl="0" w:tplc="3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 w15:restartNumberingAfterBreak="0">
    <w:nsid w:val="498E0E05"/>
    <w:multiLevelType w:val="hybridMultilevel"/>
    <w:tmpl w:val="071C4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45150"/>
    <w:multiLevelType w:val="hybridMultilevel"/>
    <w:tmpl w:val="16B8F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3B1EEF"/>
    <w:multiLevelType w:val="hybridMultilevel"/>
    <w:tmpl w:val="E54C4F32"/>
    <w:lvl w:ilvl="0" w:tplc="3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9" w15:restartNumberingAfterBreak="0">
    <w:nsid w:val="62E71590"/>
    <w:multiLevelType w:val="hybridMultilevel"/>
    <w:tmpl w:val="D8060652"/>
    <w:lvl w:ilvl="0" w:tplc="1F56AA3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786C1953"/>
    <w:multiLevelType w:val="hybridMultilevel"/>
    <w:tmpl w:val="7EEA54AE"/>
    <w:lvl w:ilvl="0" w:tplc="3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 w16cid:durableId="1126772541">
    <w:abstractNumId w:val="10"/>
  </w:num>
  <w:num w:numId="2" w16cid:durableId="66848618">
    <w:abstractNumId w:val="5"/>
  </w:num>
  <w:num w:numId="3" w16cid:durableId="825584436">
    <w:abstractNumId w:val="2"/>
  </w:num>
  <w:num w:numId="4" w16cid:durableId="1001591860">
    <w:abstractNumId w:val="15"/>
  </w:num>
  <w:num w:numId="5" w16cid:durableId="1221481060">
    <w:abstractNumId w:val="20"/>
  </w:num>
  <w:num w:numId="6" w16cid:durableId="336076497">
    <w:abstractNumId w:val="1"/>
  </w:num>
  <w:num w:numId="7" w16cid:durableId="1051003991">
    <w:abstractNumId w:val="13"/>
  </w:num>
  <w:num w:numId="8" w16cid:durableId="1992908491">
    <w:abstractNumId w:val="3"/>
  </w:num>
  <w:num w:numId="9" w16cid:durableId="237325403">
    <w:abstractNumId w:val="4"/>
  </w:num>
  <w:num w:numId="10" w16cid:durableId="1559129755">
    <w:abstractNumId w:val="18"/>
  </w:num>
  <w:num w:numId="11" w16cid:durableId="833491742">
    <w:abstractNumId w:val="14"/>
  </w:num>
  <w:num w:numId="12" w16cid:durableId="2129740373">
    <w:abstractNumId w:val="7"/>
  </w:num>
  <w:num w:numId="13" w16cid:durableId="1245338126">
    <w:abstractNumId w:val="0"/>
  </w:num>
  <w:num w:numId="14" w16cid:durableId="434133191">
    <w:abstractNumId w:val="8"/>
  </w:num>
  <w:num w:numId="15" w16cid:durableId="206838835">
    <w:abstractNumId w:val="11"/>
  </w:num>
  <w:num w:numId="16" w16cid:durableId="1197044425">
    <w:abstractNumId w:val="17"/>
  </w:num>
  <w:num w:numId="17" w16cid:durableId="2074161882">
    <w:abstractNumId w:val="19"/>
  </w:num>
  <w:num w:numId="18" w16cid:durableId="303244032">
    <w:abstractNumId w:val="6"/>
  </w:num>
  <w:num w:numId="19" w16cid:durableId="167335088">
    <w:abstractNumId w:val="12"/>
  </w:num>
  <w:num w:numId="20" w16cid:durableId="194083415">
    <w:abstractNumId w:val="9"/>
  </w:num>
  <w:num w:numId="21" w16cid:durableId="569040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28"/>
    <w:rsid w:val="00081BC1"/>
    <w:rsid w:val="000A5FEB"/>
    <w:rsid w:val="000B58C9"/>
    <w:rsid w:val="000E439B"/>
    <w:rsid w:val="0011039E"/>
    <w:rsid w:val="00131BD9"/>
    <w:rsid w:val="00132E8F"/>
    <w:rsid w:val="00174AC1"/>
    <w:rsid w:val="001B2DA3"/>
    <w:rsid w:val="001C7694"/>
    <w:rsid w:val="001D1710"/>
    <w:rsid w:val="0023402B"/>
    <w:rsid w:val="00240606"/>
    <w:rsid w:val="00272CFE"/>
    <w:rsid w:val="00276478"/>
    <w:rsid w:val="00293047"/>
    <w:rsid w:val="002976F5"/>
    <w:rsid w:val="002D6218"/>
    <w:rsid w:val="002D6E3D"/>
    <w:rsid w:val="002F1C45"/>
    <w:rsid w:val="003656A6"/>
    <w:rsid w:val="00374CE4"/>
    <w:rsid w:val="003A76D1"/>
    <w:rsid w:val="003F1BAD"/>
    <w:rsid w:val="003F315A"/>
    <w:rsid w:val="00401D47"/>
    <w:rsid w:val="004209FF"/>
    <w:rsid w:val="00433459"/>
    <w:rsid w:val="00450FDF"/>
    <w:rsid w:val="00493E6D"/>
    <w:rsid w:val="004A013D"/>
    <w:rsid w:val="004A065E"/>
    <w:rsid w:val="004B4FC9"/>
    <w:rsid w:val="004F6FE2"/>
    <w:rsid w:val="00510FDE"/>
    <w:rsid w:val="005536AA"/>
    <w:rsid w:val="00555A3D"/>
    <w:rsid w:val="0056794C"/>
    <w:rsid w:val="005C0A4D"/>
    <w:rsid w:val="005C7917"/>
    <w:rsid w:val="005F460A"/>
    <w:rsid w:val="00611C8A"/>
    <w:rsid w:val="006134F2"/>
    <w:rsid w:val="006249E8"/>
    <w:rsid w:val="0064367D"/>
    <w:rsid w:val="00663549"/>
    <w:rsid w:val="006851D9"/>
    <w:rsid w:val="006967C6"/>
    <w:rsid w:val="006D197D"/>
    <w:rsid w:val="00727736"/>
    <w:rsid w:val="0073598F"/>
    <w:rsid w:val="00740A53"/>
    <w:rsid w:val="00741BDD"/>
    <w:rsid w:val="007446EF"/>
    <w:rsid w:val="00754B1B"/>
    <w:rsid w:val="007D2335"/>
    <w:rsid w:val="007D4E7F"/>
    <w:rsid w:val="007E1D2B"/>
    <w:rsid w:val="008566B2"/>
    <w:rsid w:val="008653A5"/>
    <w:rsid w:val="00894ABB"/>
    <w:rsid w:val="008A25D1"/>
    <w:rsid w:val="008C11F7"/>
    <w:rsid w:val="008C1A3A"/>
    <w:rsid w:val="008E56F9"/>
    <w:rsid w:val="009134E5"/>
    <w:rsid w:val="00914873"/>
    <w:rsid w:val="00945B3A"/>
    <w:rsid w:val="009B6329"/>
    <w:rsid w:val="009C7D57"/>
    <w:rsid w:val="00A05465"/>
    <w:rsid w:val="00A067DD"/>
    <w:rsid w:val="00A242BF"/>
    <w:rsid w:val="00A54B02"/>
    <w:rsid w:val="00A6229C"/>
    <w:rsid w:val="00A761E3"/>
    <w:rsid w:val="00AA3B11"/>
    <w:rsid w:val="00AB08FD"/>
    <w:rsid w:val="00AB1CF8"/>
    <w:rsid w:val="00AD1451"/>
    <w:rsid w:val="00AD664A"/>
    <w:rsid w:val="00AE7549"/>
    <w:rsid w:val="00B108EE"/>
    <w:rsid w:val="00B10DC6"/>
    <w:rsid w:val="00B1783A"/>
    <w:rsid w:val="00B73796"/>
    <w:rsid w:val="00B93E24"/>
    <w:rsid w:val="00BA6AEA"/>
    <w:rsid w:val="00C00C96"/>
    <w:rsid w:val="00C42F5A"/>
    <w:rsid w:val="00C60CC2"/>
    <w:rsid w:val="00C63AAA"/>
    <w:rsid w:val="00CE629C"/>
    <w:rsid w:val="00CF0746"/>
    <w:rsid w:val="00CF1757"/>
    <w:rsid w:val="00D17535"/>
    <w:rsid w:val="00D3764D"/>
    <w:rsid w:val="00D82D2E"/>
    <w:rsid w:val="00D852D3"/>
    <w:rsid w:val="00DE7E6E"/>
    <w:rsid w:val="00E269DE"/>
    <w:rsid w:val="00E563CA"/>
    <w:rsid w:val="00EB03CF"/>
    <w:rsid w:val="00EB3828"/>
    <w:rsid w:val="00EB52EA"/>
    <w:rsid w:val="00EB72CD"/>
    <w:rsid w:val="00EF2BB9"/>
    <w:rsid w:val="00EF79B3"/>
    <w:rsid w:val="00F36E7E"/>
    <w:rsid w:val="00F54C87"/>
    <w:rsid w:val="00F61580"/>
    <w:rsid w:val="00F63C6A"/>
    <w:rsid w:val="00F65843"/>
    <w:rsid w:val="00F80B8D"/>
    <w:rsid w:val="00F93133"/>
    <w:rsid w:val="00FD498F"/>
    <w:rsid w:val="00FE4959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943D5"/>
  <w15:chartTrackingRefBased/>
  <w15:docId w15:val="{07CCC682-7A86-4EF7-B583-6F5C38C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4C"/>
  </w:style>
  <w:style w:type="paragraph" w:styleId="Footer">
    <w:name w:val="footer"/>
    <w:basedOn w:val="Normal"/>
    <w:link w:val="FooterChar"/>
    <w:unhideWhenUsed/>
    <w:rsid w:val="00567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4C"/>
  </w:style>
  <w:style w:type="paragraph" w:styleId="BalloonText">
    <w:name w:val="Balloon Text"/>
    <w:basedOn w:val="Normal"/>
    <w:link w:val="BalloonTextChar"/>
    <w:uiPriority w:val="99"/>
    <w:semiHidden/>
    <w:unhideWhenUsed/>
    <w:rsid w:val="0023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Anto Anto</cp:lastModifiedBy>
  <cp:revision>32</cp:revision>
  <cp:lastPrinted>2023-09-08T10:11:00Z</cp:lastPrinted>
  <dcterms:created xsi:type="dcterms:W3CDTF">2023-08-29T10:44:00Z</dcterms:created>
  <dcterms:modified xsi:type="dcterms:W3CDTF">2023-09-08T11:24:00Z</dcterms:modified>
</cp:coreProperties>
</file>