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71" w:rsidRPr="00AE6612" w:rsidRDefault="00AE6612" w:rsidP="000B057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`</w:t>
      </w:r>
    </w:p>
    <w:p w:rsidR="000B0571" w:rsidRPr="00B8101F" w:rsidRDefault="000B0571" w:rsidP="000B0571">
      <w:pPr>
        <w:jc w:val="center"/>
        <w:rPr>
          <w:rFonts w:ascii="Arial" w:hAnsi="Arial" w:cs="Arial"/>
          <w:sz w:val="24"/>
          <w:szCs w:val="24"/>
        </w:rPr>
      </w:pPr>
    </w:p>
    <w:p w:rsidR="000B0571" w:rsidRPr="00B8101F" w:rsidRDefault="000B0571" w:rsidP="000B0571">
      <w:pPr>
        <w:jc w:val="center"/>
        <w:rPr>
          <w:rFonts w:ascii="Arial" w:hAnsi="Arial" w:cs="Arial"/>
          <w:sz w:val="24"/>
          <w:szCs w:val="24"/>
        </w:rPr>
      </w:pPr>
    </w:p>
    <w:p w:rsidR="000B0571" w:rsidRPr="00B8101F" w:rsidRDefault="000B0571" w:rsidP="00B8101F">
      <w:pPr>
        <w:rPr>
          <w:rFonts w:ascii="Arial" w:hAnsi="Arial" w:cs="Arial"/>
          <w:sz w:val="24"/>
          <w:szCs w:val="24"/>
        </w:rPr>
      </w:pPr>
    </w:p>
    <w:p w:rsidR="00C043F1" w:rsidRPr="00FD4658" w:rsidRDefault="00B8101F" w:rsidP="000B057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8101F">
        <w:rPr>
          <w:rFonts w:ascii="Arial" w:hAnsi="Arial" w:cs="Arial"/>
          <w:b/>
          <w:sz w:val="32"/>
          <w:szCs w:val="32"/>
        </w:rPr>
        <w:t>KERANGKA ACUAN KERJA</w:t>
      </w:r>
      <w:r w:rsidR="00FD4658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010A31" w:rsidRPr="00010A31" w:rsidRDefault="00010A31" w:rsidP="000B0571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74F5A" w:rsidRDefault="00E50BE3" w:rsidP="000B057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Instansi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74F5A">
        <w:rPr>
          <w:rFonts w:ascii="Arial" w:hAnsi="Arial" w:cs="Arial"/>
          <w:b/>
          <w:sz w:val="24"/>
          <w:szCs w:val="24"/>
        </w:rPr>
        <w:t>Badan Pengelolaan Pajak dan Retribusi Daerah (</w:t>
      </w:r>
      <w:r w:rsidR="002078FF">
        <w:rPr>
          <w:rFonts w:ascii="Arial" w:hAnsi="Arial" w:cs="Arial"/>
          <w:b/>
          <w:sz w:val="24"/>
          <w:szCs w:val="24"/>
        </w:rPr>
        <w:t>BPPRD</w:t>
      </w:r>
      <w:r w:rsidR="00574F5A">
        <w:rPr>
          <w:rFonts w:ascii="Arial" w:hAnsi="Arial" w:cs="Arial"/>
          <w:b/>
          <w:sz w:val="24"/>
          <w:szCs w:val="24"/>
        </w:rPr>
        <w:t>)</w:t>
      </w:r>
      <w:r w:rsidR="000B0571" w:rsidRPr="00B8101F">
        <w:rPr>
          <w:rFonts w:ascii="Arial" w:hAnsi="Arial" w:cs="Arial"/>
          <w:b/>
          <w:sz w:val="24"/>
          <w:szCs w:val="24"/>
        </w:rPr>
        <w:t xml:space="preserve"> </w:t>
      </w:r>
    </w:p>
    <w:p w:rsidR="000B0571" w:rsidRPr="00B8101F" w:rsidRDefault="000B0571" w:rsidP="000B0571">
      <w:pPr>
        <w:jc w:val="center"/>
        <w:rPr>
          <w:rFonts w:ascii="Arial" w:hAnsi="Arial" w:cs="Arial"/>
          <w:b/>
          <w:sz w:val="24"/>
          <w:szCs w:val="24"/>
        </w:rPr>
      </w:pPr>
      <w:r w:rsidRPr="00B8101F">
        <w:rPr>
          <w:rFonts w:ascii="Arial" w:hAnsi="Arial" w:cs="Arial"/>
          <w:b/>
          <w:sz w:val="24"/>
          <w:szCs w:val="24"/>
        </w:rPr>
        <w:t xml:space="preserve">Provinsi Sumatera Utara </w:t>
      </w:r>
    </w:p>
    <w:p w:rsidR="000B0571" w:rsidRDefault="00B8101F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Nama Pekerjaan : </w:t>
      </w:r>
      <w:r w:rsidR="009D17A4">
        <w:rPr>
          <w:rFonts w:ascii="Arial" w:hAnsi="Arial" w:cs="Arial"/>
          <w:b/>
          <w:sz w:val="24"/>
          <w:szCs w:val="24"/>
        </w:rPr>
        <w:t>Belanja Jasa Tenaga Administrasi Perkantoran</w:t>
      </w:r>
    </w:p>
    <w:p w:rsidR="00FD4658" w:rsidRPr="00FD4658" w:rsidRDefault="00FD4658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Nama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PPK 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968AC">
        <w:rPr>
          <w:rFonts w:ascii="Arial" w:hAnsi="Arial" w:cs="Arial"/>
          <w:b/>
          <w:sz w:val="24"/>
          <w:szCs w:val="24"/>
          <w:lang w:val="en-US"/>
        </w:rPr>
        <w:t>MAISARAH, SE</w:t>
      </w: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Default="001E7C10" w:rsidP="00B8101F">
      <w:pPr>
        <w:rPr>
          <w:rFonts w:ascii="Arial" w:hAnsi="Arial" w:cs="Arial"/>
          <w:b/>
          <w:sz w:val="24"/>
          <w:szCs w:val="24"/>
        </w:rPr>
      </w:pPr>
    </w:p>
    <w:p w:rsidR="00B8101F" w:rsidRDefault="00B8101F" w:rsidP="00B8101F">
      <w:pPr>
        <w:rPr>
          <w:rFonts w:ascii="Arial" w:hAnsi="Arial" w:cs="Arial"/>
          <w:b/>
          <w:sz w:val="24"/>
          <w:szCs w:val="24"/>
        </w:rPr>
      </w:pPr>
    </w:p>
    <w:p w:rsidR="00B8101F" w:rsidRPr="00B8101F" w:rsidRDefault="00B8101F" w:rsidP="00B8101F">
      <w:pPr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F10547" w:rsidRDefault="00025608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Tahun Anggaran </w:t>
      </w:r>
      <w:r w:rsidR="00F10547">
        <w:rPr>
          <w:rFonts w:ascii="Arial" w:hAnsi="Arial" w:cs="Arial"/>
          <w:b/>
          <w:sz w:val="24"/>
          <w:szCs w:val="24"/>
        </w:rPr>
        <w:t>20</w:t>
      </w:r>
      <w:r w:rsidR="00D968AC">
        <w:rPr>
          <w:rFonts w:ascii="Arial" w:hAnsi="Arial" w:cs="Arial"/>
          <w:b/>
          <w:sz w:val="24"/>
          <w:szCs w:val="24"/>
          <w:lang w:val="en-US"/>
        </w:rPr>
        <w:t>23</w:t>
      </w: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Default="001E7C10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654D" w:rsidRPr="0098654D" w:rsidRDefault="0098654D" w:rsidP="003A294E">
      <w:pPr>
        <w:rPr>
          <w:rFonts w:ascii="Arial" w:hAnsi="Arial" w:cs="Arial"/>
          <w:b/>
          <w:sz w:val="24"/>
          <w:szCs w:val="24"/>
          <w:lang w:val="en-US"/>
        </w:rPr>
      </w:pPr>
    </w:p>
    <w:p w:rsidR="001E7C10" w:rsidRPr="00FD4658" w:rsidRDefault="001E7C10" w:rsidP="001E7C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8101F">
        <w:rPr>
          <w:rFonts w:ascii="Arial" w:hAnsi="Arial" w:cs="Arial"/>
          <w:b/>
          <w:sz w:val="24"/>
          <w:szCs w:val="24"/>
        </w:rPr>
        <w:lastRenderedPageBreak/>
        <w:t>Kerangka Acuan Kerja</w:t>
      </w:r>
    </w:p>
    <w:p w:rsidR="001E7C10" w:rsidRPr="00B8101F" w:rsidRDefault="001E7C10" w:rsidP="001E7C10">
      <w:pPr>
        <w:jc w:val="center"/>
        <w:rPr>
          <w:rFonts w:ascii="Arial" w:hAnsi="Arial" w:cs="Arial"/>
          <w:b/>
          <w:sz w:val="24"/>
          <w:szCs w:val="24"/>
        </w:rPr>
      </w:pPr>
      <w:r w:rsidRPr="00B8101F">
        <w:rPr>
          <w:rFonts w:ascii="Arial" w:hAnsi="Arial" w:cs="Arial"/>
          <w:b/>
          <w:sz w:val="24"/>
          <w:szCs w:val="24"/>
        </w:rPr>
        <w:t xml:space="preserve">Pekerjaan :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Belanja</w:t>
      </w:r>
      <w:proofErr w:type="spellEnd"/>
      <w:r w:rsidR="009D17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Jasa</w:t>
      </w:r>
      <w:proofErr w:type="spellEnd"/>
      <w:r w:rsidR="009D17A4">
        <w:rPr>
          <w:rFonts w:ascii="Arial" w:hAnsi="Arial" w:cs="Arial"/>
          <w:b/>
          <w:sz w:val="24"/>
          <w:szCs w:val="24"/>
          <w:lang w:val="en-US"/>
        </w:rPr>
        <w:t xml:space="preserve"> Tenaga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Administrasi</w:t>
      </w:r>
      <w:proofErr w:type="spellEnd"/>
      <w:r w:rsidR="009D17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Perkantoran</w:t>
      </w:r>
      <w:proofErr w:type="spellEnd"/>
      <w:r w:rsidR="00340FB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"/>
        <w:gridCol w:w="8534"/>
      </w:tblGrid>
      <w:tr w:rsidR="002A5B41" w:rsidRPr="00B8101F" w:rsidTr="00D968AC">
        <w:tc>
          <w:tcPr>
            <w:tcW w:w="459" w:type="dxa"/>
          </w:tcPr>
          <w:p w:rsidR="002A5B41" w:rsidRPr="00B8101F" w:rsidRDefault="002A5B4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Latar Belakang</w:t>
            </w:r>
          </w:p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612" w:rsidRDefault="002A5B41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Salah satu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kebijakan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 xml:space="preserve">dilakukan oleh </w:t>
            </w:r>
            <w:r w:rsidR="00AE6612">
              <w:rPr>
                <w:rFonts w:ascii="Arial" w:hAnsi="Arial" w:cs="Arial"/>
                <w:sz w:val="24"/>
                <w:szCs w:val="24"/>
              </w:rPr>
              <w:t>Badan Pengelolaan Pajak dan Retribusi Daerah (BPPRD)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 xml:space="preserve"> Provinsi Sumatera Utara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rangka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>meningkatkan mutu pelayanan pelayanan kepada masyarakat (Wajib Pajak dan Wajib Retribusi Daerah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 xml:space="preserve"> adalah dengan mendekatkan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pra</w:t>
            </w:r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>pelayanan</w:t>
            </w:r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E6612" w:rsidRDefault="00AE6612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6612" w:rsidRDefault="00EA4285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Prasana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Pelayanan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dimaksud</w:t>
            </w:r>
            <w:proofErr w:type="spellEnd"/>
            <w:proofErr w:type="gram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adalah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rupa</w:t>
            </w:r>
            <w:proofErr w:type="spellEnd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pembukaan</w:t>
            </w:r>
            <w:proofErr w:type="spellEnd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 xml:space="preserve"> UPT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Samsat</w:t>
            </w:r>
            <w:proofErr w:type="spellEnd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Gerai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Samsat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Pengoperasian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Bus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Samsa</w:t>
            </w:r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>Keliling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diseluruh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Kabupaten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/Kota se Sumatera Utara.</w:t>
            </w:r>
          </w:p>
          <w:p w:rsidR="00AE6612" w:rsidRDefault="00AE6612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0349" w:rsidRPr="00B8101F" w:rsidRDefault="00DB0349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Pelayanan kepada masyarakat 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>termasuk segala sesuatu yang berh</w:t>
            </w:r>
            <w:r w:rsidR="00010A31">
              <w:rPr>
                <w:rFonts w:ascii="Arial" w:hAnsi="Arial" w:cs="Arial"/>
                <w:sz w:val="24"/>
                <w:szCs w:val="24"/>
              </w:rPr>
              <w:t xml:space="preserve">ubungan dengan pelaksanaan hak </w:t>
            </w:r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emerintah </w:t>
            </w:r>
            <w:proofErr w:type="spellStart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 Sumatera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Utara 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memperoleh pendapatan daerah dari wajib pajak dan wajib retribusi daerah. </w:t>
            </w:r>
          </w:p>
          <w:p w:rsidR="00B04429" w:rsidRPr="00B8101F" w:rsidRDefault="00B04429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4429" w:rsidRPr="00B8101F" w:rsidRDefault="00B04429" w:rsidP="00B0442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Selain daripada mendekatkan pelayanan dan meningkatkan mutu pelayanan yang disebut di atas, </w:t>
            </w:r>
            <w:r w:rsidR="00574F5A">
              <w:rPr>
                <w:rFonts w:ascii="Arial" w:hAnsi="Arial" w:cs="Arial"/>
                <w:sz w:val="24"/>
                <w:szCs w:val="24"/>
              </w:rPr>
              <w:t>Badan Pengelolaan Pajak dan Retribusi Daerah (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574F5A">
              <w:rPr>
                <w:rFonts w:ascii="Arial" w:hAnsi="Arial" w:cs="Arial"/>
                <w:sz w:val="24"/>
                <w:szCs w:val="24"/>
              </w:rPr>
              <w:t>)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mempunyai beban kerja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untuk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memperoleh kejelasan atas hak pemerintah daerah memperoleh pendapatan daerah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yang tertunggak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dari wajib pajak dan wajib retribusi daerah. </w:t>
            </w:r>
          </w:p>
          <w:p w:rsidR="00B04429" w:rsidRPr="00B8101F" w:rsidRDefault="00B04429" w:rsidP="00B0442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F15" w:rsidRDefault="00DB0349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S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trategi mendekatkan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pelayanan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>dan meningkatkan mutu pelayanan tersebut di atas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berhasil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dukung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sumber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daya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manusia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cukup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986F15" w:rsidRDefault="00986F15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0349" w:rsidRPr="00B8101F" w:rsidRDefault="00986F15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DB0349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tunggakan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kendaraan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berkisar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3.000.000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kendaraan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tertunggak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Aparatur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Sipil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Negara (ASN</w:t>
            </w:r>
            <w:r w:rsidR="00DB0349" w:rsidRPr="00B8101F">
              <w:rPr>
                <w:rFonts w:ascii="Arial" w:hAnsi="Arial" w:cs="Arial"/>
                <w:sz w:val="24"/>
                <w:szCs w:val="24"/>
              </w:rPr>
              <w:t>)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, di lingkungan </w:t>
            </w:r>
            <w:r w:rsidR="00574F5A">
              <w:rPr>
                <w:rFonts w:ascii="Arial" w:hAnsi="Arial" w:cs="Arial"/>
                <w:sz w:val="24"/>
                <w:szCs w:val="24"/>
              </w:rPr>
              <w:t>Badan Pengelolaan Pajak dan Retribusi Daerah (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574F5A">
              <w:rPr>
                <w:rFonts w:ascii="Arial" w:hAnsi="Arial" w:cs="Arial"/>
                <w:sz w:val="24"/>
                <w:szCs w:val="24"/>
              </w:rPr>
              <w:t>)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Provinsi Sumatera Utara termasuk dijajaran 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Pelaksana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hanya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700 orang</w:t>
            </w:r>
            <w:r w:rsidR="00D968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memerlukan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hal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membantu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para ASN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menyampaikan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menginformasikan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melakukan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penagihan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tentang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tagihan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retribusi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wajib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DB0349" w:rsidRPr="00B8101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DB0349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5B41" w:rsidRPr="00B8101F" w:rsidRDefault="002A5B41" w:rsidP="00B0442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B41" w:rsidRPr="00B8101F" w:rsidTr="00D968AC">
        <w:tc>
          <w:tcPr>
            <w:tcW w:w="459" w:type="dxa"/>
          </w:tcPr>
          <w:p w:rsidR="002A5B41" w:rsidRPr="00B8101F" w:rsidRDefault="002A5B4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Maksud dan Tujuan</w:t>
            </w:r>
          </w:p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227038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Maksud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tujuan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pengadaan </w:t>
            </w:r>
            <w:r w:rsidR="00F10547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adalah untuk memenuhi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 kekurangan jumlah 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>. Pemenuh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an kekurangan 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sangat 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mendesak, namun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>tidak mungkin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 dilakukan dengan cara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penambahan 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51A45" w:rsidRPr="00B8101F" w:rsidRDefault="00F51A45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B41" w:rsidRPr="00B8101F" w:rsidRDefault="00B04429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P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engangkatan tenaga honorer  dan sejenisnya </w:t>
            </w:r>
            <w:r w:rsidR="00AF214A" w:rsidRPr="00B8101F">
              <w:rPr>
                <w:rFonts w:ascii="Arial" w:hAnsi="Arial" w:cs="Arial"/>
                <w:sz w:val="24"/>
                <w:szCs w:val="24"/>
              </w:rPr>
              <w:t xml:space="preserve">tidak dapat dilakukan karena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>bertentangan dengan peraturan Pemerintah Nomor : 48 Tahun 2005 Tentang Pengangkatan Tenaga Honorer Menjadi Calon Pegawai Negeri Sipil (CPNS).</w:t>
            </w:r>
          </w:p>
          <w:p w:rsidR="002A5B41" w:rsidRPr="00B8101F" w:rsidRDefault="002A5B41" w:rsidP="0052422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97C" w:rsidRDefault="002A5B41" w:rsidP="00D72A4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lastRenderedPageBreak/>
              <w:t xml:space="preserve">Solusi yang dapat dilakukan untuk mengatasi masalah kekurangan jumlah Sumber Daya Manusia (SDM) adalah pengadaan </w:t>
            </w:r>
            <w:r w:rsidR="00195569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melalui </w:t>
            </w:r>
            <w:r w:rsidR="00FD645F" w:rsidRPr="00B8101F">
              <w:rPr>
                <w:rFonts w:ascii="Arial" w:hAnsi="Arial" w:cs="Arial"/>
                <w:sz w:val="24"/>
                <w:szCs w:val="24"/>
              </w:rPr>
              <w:t>Penyedia Jasa Tenaga Kerja.</w:t>
            </w:r>
          </w:p>
          <w:p w:rsidR="00D72A42" w:rsidRPr="00D72A42" w:rsidRDefault="00D72A42" w:rsidP="00D72A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5B41" w:rsidRPr="00B8101F" w:rsidTr="00D968AC">
        <w:tc>
          <w:tcPr>
            <w:tcW w:w="459" w:type="dxa"/>
          </w:tcPr>
          <w:p w:rsidR="002A5B41" w:rsidRPr="00B8101F" w:rsidRDefault="002A5B4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Target dan Sasaran </w:t>
            </w:r>
          </w:p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Default="002A5B41" w:rsidP="000F396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Target dan Sasaran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penyediaan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569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Admnistrasi</w:t>
            </w:r>
            <w:proofErr w:type="spellEnd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95569">
              <w:rPr>
                <w:rFonts w:ascii="Arial" w:hAnsi="Arial" w:cs="Arial"/>
                <w:sz w:val="24"/>
                <w:szCs w:val="24"/>
              </w:rPr>
              <w:t>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adalah </w:t>
            </w:r>
            <w:r w:rsidR="00CD3765" w:rsidRPr="00B8101F"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jasa tenaga kerja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membantu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ASN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melaksanakan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tugas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pokoknya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>agar pelayanan kepada masyarakat (Wajib Pajak dan Wajib Retribusi Daerah) dapat terlaksana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baik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3965" w:rsidRPr="000F3965" w:rsidRDefault="000F3965" w:rsidP="000F396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C2522" w:rsidRPr="00B8101F" w:rsidTr="00D968AC">
        <w:tc>
          <w:tcPr>
            <w:tcW w:w="459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Nama Organisasi Pengadaan Jasa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Instansi yang melakukan pengadaan</w:t>
            </w:r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 xml:space="preserve"> Tenaga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Perkantoran</w:t>
            </w:r>
            <w:proofErr w:type="spellEnd"/>
            <w:r w:rsidRPr="00B8101F">
              <w:rPr>
                <w:rFonts w:ascii="Arial" w:hAnsi="Arial" w:cs="Arial"/>
                <w:sz w:val="24"/>
                <w:szCs w:val="24"/>
              </w:rPr>
              <w:t xml:space="preserve"> adalah </w:t>
            </w:r>
            <w:r w:rsidR="00574F5A">
              <w:rPr>
                <w:rFonts w:ascii="Arial" w:hAnsi="Arial" w:cs="Arial"/>
                <w:sz w:val="24"/>
                <w:szCs w:val="24"/>
              </w:rPr>
              <w:t>Badan Pengelolaan Pajak dan Retribusi Daerah (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574F5A">
              <w:rPr>
                <w:rFonts w:ascii="Arial" w:hAnsi="Arial" w:cs="Arial"/>
                <w:sz w:val="24"/>
                <w:szCs w:val="24"/>
              </w:rPr>
              <w:t>)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Provinsi Sumatera Utara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untuk kepentingan </w:t>
            </w:r>
            <w:r w:rsidR="00574F5A">
              <w:rPr>
                <w:rFonts w:ascii="Arial" w:hAnsi="Arial" w:cs="Arial"/>
                <w:sz w:val="24"/>
                <w:szCs w:val="24"/>
              </w:rPr>
              <w:t>Badan Pengelolaan Pajak dan Retribusi Daerah (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574F5A">
              <w:rPr>
                <w:rFonts w:ascii="Arial" w:hAnsi="Arial" w:cs="Arial"/>
                <w:sz w:val="24"/>
                <w:szCs w:val="24"/>
              </w:rPr>
              <w:t>)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Provinsi Sumatera Utara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="00E40B14">
              <w:rPr>
                <w:rFonts w:ascii="Arial" w:hAnsi="Arial" w:cs="Arial"/>
                <w:sz w:val="24"/>
                <w:szCs w:val="24"/>
              </w:rPr>
              <w:t>35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>Unit Pelaksana Teknis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(UPT)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yang tersebar di Kabupaten/Kota se Provinsi Sumatera Utara.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22" w:rsidRPr="00B8101F" w:rsidTr="00D968AC">
        <w:tc>
          <w:tcPr>
            <w:tcW w:w="459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Sumber Dana dan Perkiraan Biaya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Default="005C2522" w:rsidP="0019556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Sumber dana untuk membiayai pengadaan Tenaga </w:t>
            </w:r>
            <w:r w:rsidR="001440F7">
              <w:rPr>
                <w:rFonts w:ascii="Arial" w:hAnsi="Arial" w:cs="Arial"/>
                <w:sz w:val="24"/>
                <w:szCs w:val="24"/>
              </w:rPr>
              <w:t>Administrasi 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ini adala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>h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APBD Provinsi Sumatera Utara t</w:t>
            </w:r>
            <w:r w:rsidR="00F10547">
              <w:rPr>
                <w:rFonts w:ascii="Arial" w:hAnsi="Arial" w:cs="Arial"/>
                <w:sz w:val="24"/>
                <w:szCs w:val="24"/>
              </w:rPr>
              <w:t xml:space="preserve">ahun anggaran </w:t>
            </w:r>
            <w:r w:rsidR="00D968AC">
              <w:rPr>
                <w:rFonts w:ascii="Arial" w:hAnsi="Arial" w:cs="Arial"/>
                <w:sz w:val="24"/>
                <w:szCs w:val="24"/>
              </w:rPr>
              <w:t>2023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 dengan </w:t>
            </w:r>
            <w:r w:rsidR="00977007">
              <w:rPr>
                <w:rFonts w:ascii="Arial" w:hAnsi="Arial" w:cs="Arial"/>
                <w:sz w:val="24"/>
                <w:szCs w:val="24"/>
              </w:rPr>
              <w:t>pe</w:t>
            </w:r>
            <w:r w:rsidR="00195569">
              <w:rPr>
                <w:rFonts w:ascii="Arial" w:hAnsi="Arial" w:cs="Arial"/>
                <w:sz w:val="24"/>
                <w:szCs w:val="24"/>
              </w:rPr>
              <w:t>rkiraan biaya sebesar Rp. 1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8.622.813.625</w:t>
            </w:r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,-</w:t>
            </w:r>
            <w:r w:rsidR="000F3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belas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milyar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jjuta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belas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ribu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lima rupiah</w:t>
            </w:r>
            <w:r w:rsidRPr="00B8101F">
              <w:rPr>
                <w:rFonts w:ascii="Arial" w:hAnsi="Arial" w:cs="Arial"/>
                <w:sz w:val="24"/>
                <w:szCs w:val="24"/>
              </w:rPr>
              <w:t>)</w:t>
            </w:r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sesuai</w:t>
            </w:r>
            <w:proofErr w:type="spellEnd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56B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F7256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D2">
              <w:rPr>
                <w:rFonts w:ascii="Arial" w:hAnsi="Arial" w:cs="Arial"/>
                <w:sz w:val="24"/>
                <w:szCs w:val="24"/>
                <w:lang w:val="en-US"/>
              </w:rPr>
              <w:t>RKA</w:t>
            </w:r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2023</w:t>
            </w:r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mengacu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UMP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Sumatera Utara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. HPS</w:t>
            </w:r>
            <w:r w:rsidR="003548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CA2">
              <w:rPr>
                <w:rFonts w:ascii="Arial" w:hAnsi="Arial" w:cs="Arial"/>
                <w:sz w:val="24"/>
                <w:szCs w:val="24"/>
                <w:lang w:val="en-US"/>
              </w:rPr>
              <w:t>sebesar</w:t>
            </w:r>
            <w:proofErr w:type="spellEnd"/>
            <w:r w:rsidR="000A5C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4061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7.576.334.0</w:t>
            </w:r>
            <w:r w:rsidR="0091180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gramStart"/>
            <w:r w:rsidR="00AC457E">
              <w:rPr>
                <w:rFonts w:ascii="Arial" w:hAnsi="Arial" w:cs="Arial"/>
                <w:sz w:val="24"/>
                <w:szCs w:val="24"/>
                <w:lang w:val="en-US"/>
              </w:rPr>
              <w:t>,-</w:t>
            </w:r>
            <w:proofErr w:type="gramEnd"/>
            <w:r w:rsidR="00AC457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tujuh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belas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milyar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lima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tujuh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juta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empat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ribu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rupiah</w:t>
            </w:r>
            <w:r w:rsidR="00CB437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Apabila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tersedia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DPA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terdapat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perubahan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nilai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DPA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maka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Pengguna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dituntut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bentuk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apapun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kontrak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akan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disesuaikan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tersedia</w:t>
            </w:r>
            <w:proofErr w:type="spellEnd"/>
          </w:p>
          <w:p w:rsidR="003A294E" w:rsidRPr="00B8101F" w:rsidRDefault="003A294E" w:rsidP="001955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22" w:rsidRPr="00B8101F" w:rsidTr="00D968AC">
        <w:tc>
          <w:tcPr>
            <w:tcW w:w="459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Ruang Lingkup Pengadaan/Lokasi dan Fasilitas Penunjang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Pr="00B8101F" w:rsidRDefault="00A53713" w:rsidP="00CA360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Terdapat 3 (tiga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) jenis Tenaga </w:t>
            </w:r>
            <w:proofErr w:type="spellStart"/>
            <w:r w:rsidR="00C92F07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440F7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yang penempata</w:t>
            </w:r>
            <w:r w:rsidR="00D7316F">
              <w:rPr>
                <w:rFonts w:ascii="Arial" w:hAnsi="Arial" w:cs="Arial"/>
                <w:sz w:val="24"/>
                <w:szCs w:val="24"/>
              </w:rPr>
              <w:t>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>n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ya menurut kebutuhan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 yaitu : </w:t>
            </w:r>
          </w:p>
          <w:p w:rsidR="005C2522" w:rsidRPr="00B8101F" w:rsidRDefault="005C2522" w:rsidP="00CA360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522" w:rsidRPr="00B8101F" w:rsidRDefault="005C2522" w:rsidP="00CA3600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Operator Komputer yang ditempatkan di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kantor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Prov. Sum Utara.</w:t>
            </w:r>
          </w:p>
          <w:p w:rsidR="005C2522" w:rsidRPr="00B8101F" w:rsidRDefault="005C2522" w:rsidP="00CA3600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Pen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>d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amping Operator Jaringan Online yang ditempatkan di Pusat Informasi Pendapatan Daerah. </w:t>
            </w:r>
          </w:p>
          <w:p w:rsidR="005C2522" w:rsidRPr="00B8101F" w:rsidRDefault="005C2522" w:rsidP="00CA3600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Pendamping Penagihan Tunggakan Pajak Daerah untuk ditempatkan di </w:t>
            </w:r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="00CD3765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Unit Pelaksana Teknis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>tersebar</w:t>
            </w:r>
            <w:proofErr w:type="spellEnd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>Kabupaten</w:t>
            </w:r>
            <w:proofErr w:type="spellEnd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 xml:space="preserve"> Kota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2522" w:rsidRPr="00B8101F" w:rsidRDefault="005C2522" w:rsidP="00CA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A45" w:rsidRPr="00CB4378" w:rsidRDefault="005C2522" w:rsidP="009F10A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Administrasi Pengadaan  dilakukan secara terpusat di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namun penempatan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>nya adalah :</w:t>
            </w:r>
          </w:p>
          <w:p w:rsidR="00F51A45" w:rsidRPr="00B8101F" w:rsidRDefault="00EA4285" w:rsidP="00F51A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Kantor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Sumatera Utara,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B4AF7" w:rsidRPr="00402890" w:rsidRDefault="00F51A45" w:rsidP="009F10A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T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ersebar di</w:t>
            </w:r>
            <w:r w:rsidR="00FB590C">
              <w:rPr>
                <w:rFonts w:ascii="Arial" w:hAnsi="Arial" w:cs="Arial"/>
                <w:sz w:val="24"/>
                <w:szCs w:val="24"/>
              </w:rPr>
              <w:t xml:space="preserve"> 35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 Unit Pelaksana Teknis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di Kabupaten/Kota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se Sumatera Utara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2522" w:rsidRPr="00B8101F" w:rsidRDefault="00F51A45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lastRenderedPageBreak/>
              <w:t xml:space="preserve">Fasilitas Penunjang yang harus disediakan oleh 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Instansi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FB19B8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 w:rsidR="00FB590C">
              <w:rPr>
                <w:rFonts w:ascii="Arial" w:hAnsi="Arial" w:cs="Arial"/>
                <w:sz w:val="24"/>
                <w:szCs w:val="24"/>
              </w:rPr>
              <w:t>35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Unit Pelaksana Teknis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adalah 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menyediakan Prasarana </w:t>
            </w:r>
            <w:proofErr w:type="spellStart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bagi Tenaga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440F7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>.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2522" w:rsidRPr="00B8101F" w:rsidTr="00D968AC">
        <w:tc>
          <w:tcPr>
            <w:tcW w:w="461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Produk yang Dihasilkan </w:t>
            </w:r>
          </w:p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Kegiat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an ini adalah berupa pengadaan </w:t>
            </w:r>
            <w:r w:rsidR="00195569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berupa</w:t>
            </w:r>
            <w:proofErr w:type="spellEnd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Admnistrasi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sedangkan 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produk 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 yang dihasilkan adalah </w:t>
            </w:r>
            <w:r w:rsidR="00C92F07">
              <w:rPr>
                <w:rFonts w:ascii="Arial" w:hAnsi="Arial" w:cs="Arial"/>
                <w:sz w:val="24"/>
                <w:szCs w:val="24"/>
              </w:rPr>
              <w:t xml:space="preserve"> tersedianya 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F0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empat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lima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orang Tenaga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440F7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 untuk dipekerjakan 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membantu 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 di lin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gkungan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Prov. Sum. Utara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di 35</w:t>
            </w:r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 xml:space="preserve"> UPT yang </w:t>
            </w:r>
            <w:proofErr w:type="spellStart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tersebar</w:t>
            </w:r>
            <w:proofErr w:type="spellEnd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seluruh</w:t>
            </w:r>
            <w:proofErr w:type="spellEnd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Kabupaten</w:t>
            </w:r>
            <w:proofErr w:type="spellEnd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/Kota se Sumatera Utara</w:t>
            </w:r>
          </w:p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60A" w:rsidRPr="00B8101F" w:rsidTr="00D968AC">
        <w:tc>
          <w:tcPr>
            <w:tcW w:w="461" w:type="dxa"/>
          </w:tcPr>
          <w:p w:rsidR="0058460A" w:rsidRPr="00B8101F" w:rsidRDefault="0058460A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56" w:type="dxa"/>
            <w:gridSpan w:val="2"/>
          </w:tcPr>
          <w:p w:rsidR="0058460A" w:rsidRPr="00B8101F" w:rsidRDefault="00CF027A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Lama </w:t>
            </w:r>
            <w:r w:rsidR="0058460A" w:rsidRPr="00B8101F">
              <w:rPr>
                <w:rFonts w:ascii="Arial" w:hAnsi="Arial" w:cs="Arial"/>
                <w:b/>
                <w:sz w:val="24"/>
                <w:szCs w:val="24"/>
              </w:rPr>
              <w:t xml:space="preserve">Pelaksanaan Yang Diperlukan </w:t>
            </w:r>
          </w:p>
          <w:p w:rsidR="0058460A" w:rsidRPr="00B8101F" w:rsidRDefault="0058460A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007" w:rsidRPr="00CF027A" w:rsidRDefault="00CF027A" w:rsidP="002270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F10A2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F07">
              <w:rPr>
                <w:rFonts w:ascii="Arial" w:hAnsi="Arial" w:cs="Arial"/>
                <w:sz w:val="24"/>
                <w:szCs w:val="24"/>
              </w:rPr>
              <w:t>pekerjaan ini selama</w:t>
            </w:r>
            <w:r w:rsidR="00114195">
              <w:rPr>
                <w:rFonts w:ascii="Arial" w:hAnsi="Arial" w:cs="Arial"/>
                <w:sz w:val="24"/>
                <w:szCs w:val="24"/>
                <w:lang w:val="en-US"/>
              </w:rPr>
              <w:t xml:space="preserve"> 12</w:t>
            </w:r>
            <w:r w:rsidR="00D7316F">
              <w:rPr>
                <w:rFonts w:ascii="Arial" w:hAnsi="Arial" w:cs="Arial"/>
                <w:sz w:val="24"/>
                <w:szCs w:val="24"/>
              </w:rPr>
              <w:t xml:space="preserve"> bulan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terhitung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mulai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195">
              <w:rPr>
                <w:rFonts w:ascii="Arial" w:hAnsi="Arial" w:cs="Arial"/>
                <w:sz w:val="24"/>
                <w:szCs w:val="24"/>
                <w:lang w:val="en-US"/>
              </w:rPr>
              <w:t>Januari</w:t>
            </w:r>
            <w:proofErr w:type="spellEnd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2023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sampa</w:t>
            </w:r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2023</w:t>
            </w:r>
          </w:p>
          <w:p w:rsidR="00977007" w:rsidRPr="00B8101F" w:rsidRDefault="00977007" w:rsidP="002270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3C09" w:rsidRPr="00B8101F" w:rsidTr="00D968AC">
        <w:tc>
          <w:tcPr>
            <w:tcW w:w="461" w:type="dxa"/>
          </w:tcPr>
          <w:p w:rsidR="00DF3C09" w:rsidRPr="00B8101F" w:rsidRDefault="00DF3C09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56" w:type="dxa"/>
            <w:gridSpan w:val="2"/>
          </w:tcPr>
          <w:p w:rsidR="00DF3C09" w:rsidRPr="00B8101F" w:rsidRDefault="00C92F07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kerja</w:t>
            </w:r>
            <w:proofErr w:type="spellEnd"/>
            <w:r w:rsidR="00DF3C09" w:rsidRPr="00B8101F">
              <w:rPr>
                <w:rFonts w:ascii="Arial" w:hAnsi="Arial" w:cs="Arial"/>
                <w:b/>
                <w:sz w:val="24"/>
                <w:szCs w:val="24"/>
              </w:rPr>
              <w:t xml:space="preserve"> yang dibutuhkan </w:t>
            </w:r>
          </w:p>
          <w:p w:rsidR="00DF3C09" w:rsidRPr="00B8101F" w:rsidRDefault="00DF3C09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038" w:rsidRDefault="00C92F07" w:rsidP="00526E6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Tenaga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DF3C09" w:rsidRPr="00B8101F">
              <w:rPr>
                <w:rFonts w:ascii="Arial" w:hAnsi="Arial" w:cs="Arial"/>
                <w:sz w:val="24"/>
                <w:szCs w:val="24"/>
              </w:rPr>
              <w:t xml:space="preserve"> yang dibutuhkan </w:t>
            </w:r>
            <w:r>
              <w:rPr>
                <w:rFonts w:ascii="Arial" w:hAnsi="Arial" w:cs="Arial"/>
                <w:sz w:val="24"/>
                <w:szCs w:val="24"/>
              </w:rPr>
              <w:t xml:space="preserve">sebanyak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425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 orang dengan kualifikasi </w:t>
            </w:r>
            <w:r w:rsidR="00DF3C09" w:rsidRPr="00B8101F">
              <w:rPr>
                <w:rFonts w:ascii="Arial" w:hAnsi="Arial" w:cs="Arial"/>
                <w:sz w:val="24"/>
                <w:szCs w:val="24"/>
              </w:rPr>
              <w:t>sebagai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rikut : </w:t>
            </w:r>
          </w:p>
          <w:p w:rsidR="000F3965" w:rsidRPr="000F3965" w:rsidRDefault="000F3965" w:rsidP="00526E6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05A7" w:rsidRDefault="00B13E4E" w:rsidP="002270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Mempekerjakan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Tenaga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(existing)</w:t>
            </w:r>
          </w:p>
          <w:p w:rsidR="004505A7" w:rsidRDefault="00574F5A" w:rsidP="002270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Minimal SMA</w:t>
            </w:r>
            <w:r w:rsidR="000339D0">
              <w:rPr>
                <w:rFonts w:ascii="Arial" w:hAnsi="Arial" w:cs="Arial"/>
                <w:sz w:val="24"/>
                <w:szCs w:val="24"/>
              </w:rPr>
              <w:t>/SMU Sederajat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5A7" w:rsidRDefault="004505A7" w:rsidP="002270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Usia minimum 18 tahun maksimal 50 tahun</w:t>
            </w:r>
          </w:p>
          <w:p w:rsidR="003B4AF7" w:rsidRPr="00AC457E" w:rsidRDefault="000339D0" w:rsidP="004505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74F5A">
              <w:rPr>
                <w:rFonts w:ascii="Arial" w:hAnsi="Arial" w:cs="Arial"/>
                <w:sz w:val="24"/>
                <w:szCs w:val="24"/>
              </w:rPr>
              <w:t xml:space="preserve">ampu </w:t>
            </w:r>
            <w:r>
              <w:rPr>
                <w:rFonts w:ascii="Arial" w:hAnsi="Arial" w:cs="Arial"/>
                <w:sz w:val="24"/>
                <w:szCs w:val="24"/>
              </w:rPr>
              <w:t xml:space="preserve">mengoperasikan komputer minimal </w:t>
            </w:r>
            <w:r w:rsidR="00574F5A">
              <w:rPr>
                <w:rFonts w:ascii="Arial" w:hAnsi="Arial" w:cs="Arial"/>
                <w:sz w:val="24"/>
                <w:szCs w:val="24"/>
              </w:rPr>
              <w:t>microsoft office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39D0" w:rsidRPr="000339D0" w:rsidRDefault="000339D0" w:rsidP="00B13E4E">
            <w:pPr>
              <w:pStyle w:val="ListParagraph"/>
              <w:ind w:left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60" w:rsidRPr="00B8101F" w:rsidTr="00D968AC">
        <w:tc>
          <w:tcPr>
            <w:tcW w:w="483" w:type="dxa"/>
            <w:gridSpan w:val="2"/>
          </w:tcPr>
          <w:p w:rsidR="00526E60" w:rsidRPr="00B8101F" w:rsidRDefault="00526E60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34" w:type="dxa"/>
          </w:tcPr>
          <w:p w:rsidR="00526E60" w:rsidRPr="00AC457E" w:rsidRDefault="00AC457E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Penyedia</w:t>
            </w:r>
            <w:proofErr w:type="spellEnd"/>
          </w:p>
          <w:p w:rsidR="00526E60" w:rsidRPr="00B8101F" w:rsidRDefault="00526E60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Metode pekerjaan dan jadwal pelaksanaan pekerjaan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Bagan/struktur kerja perusahaan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Memiliki personil/penanggung jawab perusahaan meliputi</w:t>
            </w:r>
            <w:r w:rsidR="00D9567B"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</w:p>
          <w:p w:rsidR="00AC457E" w:rsidRPr="00AC457E" w:rsidRDefault="00B13E4E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orang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Penanggung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Jawab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>pendidikan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D57B7">
              <w:rPr>
                <w:rFonts w:ascii="Arial" w:hAnsi="Arial" w:cs="Arial"/>
                <w:sz w:val="24"/>
                <w:szCs w:val="24"/>
                <w:lang w:val="en-US"/>
              </w:rPr>
              <w:t>minimal S1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C457E" w:rsidRDefault="00AC457E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1 orang pelaksana administrasi</w:t>
            </w:r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>pendidikan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SMA</w:t>
            </w:r>
          </w:p>
          <w:p w:rsidR="001430DF" w:rsidRPr="00AC457E" w:rsidRDefault="001430DF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</w:p>
          <w:p w:rsidR="00AC457E" w:rsidRDefault="00AC457E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1 orang pelaksana keuangan</w:t>
            </w:r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>pendidikan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SMA</w:t>
            </w:r>
          </w:p>
          <w:p w:rsidR="001430DF" w:rsidRPr="00AC457E" w:rsidRDefault="001430DF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</w:p>
          <w:p w:rsidR="00AC457E" w:rsidRPr="00AC457E" w:rsidRDefault="00AC457E" w:rsidP="00AC457E">
            <w:pPr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 xml:space="preserve">Masing-masing personil harus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tetap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perusahaan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dibuktikan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potong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PPh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Pasal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21 Form 1721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1721-A1,</w:t>
            </w:r>
            <w:r w:rsidR="001430DF">
              <w:rPr>
                <w:rFonts w:ascii="Arial" w:hAnsi="Arial" w:cs="Arial"/>
                <w:sz w:val="24"/>
                <w:szCs w:val="24"/>
              </w:rPr>
              <w:t xml:space="preserve"> Curiculum </w:t>
            </w:r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Vitae</w:t>
            </w:r>
            <w:r w:rsidR="00DB373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B373F">
              <w:rPr>
                <w:rFonts w:ascii="Arial" w:hAnsi="Arial" w:cs="Arial"/>
                <w:sz w:val="24"/>
                <w:szCs w:val="24"/>
                <w:lang w:val="en-US"/>
              </w:rPr>
              <w:t>Ijasah</w:t>
            </w:r>
            <w:proofErr w:type="spellEnd"/>
            <w:r w:rsidRPr="00AC457E">
              <w:rPr>
                <w:rFonts w:ascii="Arial" w:hAnsi="Arial" w:cs="Arial"/>
                <w:sz w:val="24"/>
                <w:szCs w:val="24"/>
              </w:rPr>
              <w:t xml:space="preserve"> dan data identitas diri </w:t>
            </w:r>
          </w:p>
          <w:p w:rsidR="00695428" w:rsidRPr="00695428" w:rsidRDefault="001E6187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pernyataan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rsedia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membayarkan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gaji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selama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pertama</w:t>
            </w:r>
            <w:proofErr w:type="spellEnd"/>
          </w:p>
          <w:p w:rsidR="00D9567B" w:rsidRPr="00D9567B" w:rsidRDefault="00D9567B" w:rsidP="00B25C65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rekening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saldo</w:t>
            </w:r>
            <w:proofErr w:type="spellEnd"/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D5164">
              <w:rPr>
                <w:rFonts w:ascii="Arial" w:hAnsi="Arial" w:cs="Arial"/>
                <w:sz w:val="24"/>
                <w:szCs w:val="24"/>
                <w:lang w:val="en-US"/>
              </w:rPr>
              <w:t>minimal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 3.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787.821.0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00,-</w:t>
            </w:r>
            <w:r w:rsidR="004D516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milyar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tujuh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tujuh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juta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satu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ribu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rupiah</w:t>
            </w:r>
            <w:r w:rsidR="004D516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januari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</w:p>
          <w:p w:rsidR="00B25C65" w:rsidRPr="00B25C65" w:rsidRDefault="00B25C65" w:rsidP="00B25C65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5C65">
              <w:rPr>
                <w:rFonts w:ascii="Arial" w:hAnsi="Arial" w:cs="Arial"/>
                <w:sz w:val="24"/>
                <w:szCs w:val="24"/>
              </w:rPr>
              <w:t xml:space="preserve">Menyampaikan surat pernyataan menyediakan kantor perwakilan di medan untuk penyedia yang berdomisili di luar kota medan yang ditandatangani pimpinan perusahaan </w:t>
            </w:r>
          </w:p>
          <w:p w:rsidR="00695428" w:rsidRPr="00695428" w:rsidRDefault="00695428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4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Membuat surat pernyataan akan membayarkan gaji para tenaga kerja paling lama tanggal 5 untuk untuk setiap bulannya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minimal 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computer/laptop</w:t>
            </w:r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 uni</w:t>
            </w:r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bukti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kepemilikan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sewa</w:t>
            </w:r>
            <w:proofErr w:type="spellEnd"/>
          </w:p>
          <w:p w:rsidR="00AC457E" w:rsidRPr="00D359DD" w:rsidRDefault="00AC457E" w:rsidP="00B25C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kantor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seperti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meja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47C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 unit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kursi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ker</w:t>
            </w:r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ja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47C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 unit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bukti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kepemilikan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sewa</w:t>
            </w:r>
            <w:proofErr w:type="spellEnd"/>
          </w:p>
          <w:p w:rsidR="00D359DD" w:rsidRPr="004D5164" w:rsidRDefault="00D359DD" w:rsidP="00B25C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mobil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 unit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UPT-UPT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bukt</w:t>
            </w:r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kepemilikan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sewa</w:t>
            </w:r>
            <w:proofErr w:type="spellEnd"/>
            <w:r w:rsidR="004D51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D5164" w:rsidRPr="004D5164" w:rsidRDefault="004D5164" w:rsidP="004D5164">
            <w:pPr>
              <w:pStyle w:val="ListParagraph"/>
              <w:autoSpaceDE w:val="0"/>
              <w:autoSpaceDN w:val="0"/>
              <w:adjustRightInd w:val="0"/>
              <w:ind w:left="15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164" w:rsidRPr="00AC457E" w:rsidRDefault="004D5164" w:rsidP="004D5164">
            <w:pPr>
              <w:pStyle w:val="ListParagraph"/>
              <w:autoSpaceDE w:val="0"/>
              <w:autoSpaceDN w:val="0"/>
              <w:adjustRightInd w:val="0"/>
              <w:ind w:left="15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NB 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dokumentasi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dibuktikan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klarifikasi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</w:p>
          <w:p w:rsidR="002135F4" w:rsidRPr="001C6280" w:rsidRDefault="002135F4" w:rsidP="001C62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95428" w:rsidRPr="00B8101F" w:rsidTr="00D968AC">
        <w:tc>
          <w:tcPr>
            <w:tcW w:w="483" w:type="dxa"/>
            <w:gridSpan w:val="2"/>
          </w:tcPr>
          <w:p w:rsidR="00695428" w:rsidRDefault="00695428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534" w:type="dxa"/>
          </w:tcPr>
          <w:p w:rsidR="00695428" w:rsidRPr="00695428" w:rsidRDefault="00695428" w:rsidP="00695428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Persyaratan</w:t>
            </w:r>
            <w:proofErr w:type="spellEnd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Kualifikasi</w:t>
            </w:r>
            <w:proofErr w:type="spellEnd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Penyedia</w:t>
            </w:r>
            <w:proofErr w:type="spellEnd"/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SIUP kualifika</w:t>
            </w:r>
            <w:r w:rsidR="005D76FA">
              <w:rPr>
                <w:rFonts w:ascii="Arial" w:hAnsi="Arial" w:cs="Arial"/>
                <w:sz w:val="24"/>
                <w:szCs w:val="24"/>
              </w:rPr>
              <w:t xml:space="preserve">si non kecil 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NIB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3E4E">
              <w:rPr>
                <w:rFonts w:ascii="Arial" w:hAnsi="Arial" w:cs="Arial"/>
                <w:sz w:val="24"/>
                <w:szCs w:val="24"/>
              </w:rPr>
              <w:t xml:space="preserve">dengan KBLI N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78200</w:t>
            </w:r>
            <w:r w:rsidR="00B13E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N 82110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 xml:space="preserve">Memiliki tempat usaha yang jelas dan benar sesuai dengan Surat keterangan domisili usaha </w:t>
            </w:r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5428">
              <w:rPr>
                <w:rFonts w:ascii="Arial" w:hAnsi="Arial" w:cs="Arial"/>
                <w:sz w:val="24"/>
                <w:szCs w:val="24"/>
              </w:rPr>
              <w:t>dengan melampirkan foto tempat usaha</w:t>
            </w:r>
          </w:p>
          <w:p w:rsidR="00E853AD" w:rsidRPr="00E853AD" w:rsidRDefault="00695428" w:rsidP="0036264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53AD">
              <w:rPr>
                <w:rFonts w:ascii="Arial" w:hAnsi="Arial" w:cs="Arial"/>
                <w:sz w:val="24"/>
                <w:szCs w:val="24"/>
              </w:rPr>
              <w:t>Melampirkan akta pendirian dan perubahan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terakhir</w:t>
            </w:r>
            <w:proofErr w:type="spellEnd"/>
            <w:r w:rsidRPr="00E853AD">
              <w:rPr>
                <w:rFonts w:ascii="Arial" w:hAnsi="Arial" w:cs="Arial"/>
                <w:sz w:val="24"/>
                <w:szCs w:val="24"/>
              </w:rPr>
              <w:t xml:space="preserve"> (apabila ada)</w:t>
            </w:r>
            <w:r w:rsidR="00FB19B8" w:rsidRP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disyahkan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kemenkumham</w:t>
            </w:r>
            <w:proofErr w:type="spellEnd"/>
          </w:p>
          <w:p w:rsidR="00695428" w:rsidRPr="00E853AD" w:rsidRDefault="00695428" w:rsidP="0036264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53AD">
              <w:rPr>
                <w:rFonts w:ascii="Arial" w:hAnsi="Arial" w:cs="Arial"/>
                <w:sz w:val="24"/>
                <w:szCs w:val="24"/>
              </w:rPr>
              <w:t>NPWP Perusah</w:t>
            </w:r>
            <w:r w:rsidR="00FB19B8" w:rsidRPr="00E853AD">
              <w:rPr>
                <w:rFonts w:ascii="Arial" w:hAnsi="Arial" w:cs="Arial"/>
                <w:sz w:val="24"/>
                <w:szCs w:val="24"/>
              </w:rPr>
              <w:t xml:space="preserve">aan </w:t>
            </w:r>
            <w:proofErr w:type="spellStart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 xml:space="preserve"> KSWP </w:t>
            </w:r>
            <w:proofErr w:type="spellStart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>berstatus</w:t>
            </w:r>
            <w:proofErr w:type="spellEnd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 xml:space="preserve"> valid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Memiliki sertifikat kepesertaan BPJS ketenagakerjaan dan BPJS Kesehatan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Surat ijin operasional penyedia tenaga kerja dari instansi ketenagakerjaan setempat</w:t>
            </w:r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Memiliki Tanda Pendaftaran Wajib Lapor Ketenagakerjaan yang masih berlaku dari dinas ketenagakerjaan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 xml:space="preserve">Melampirkan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perhitungan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5428">
              <w:rPr>
                <w:rFonts w:ascii="Arial" w:hAnsi="Arial" w:cs="Arial"/>
                <w:sz w:val="24"/>
                <w:szCs w:val="24"/>
              </w:rPr>
              <w:t>sisa kemampuan nyata (SKN) paket pekerjaan</w:t>
            </w:r>
          </w:p>
          <w:p w:rsidR="00A1368B" w:rsidRPr="00A1368B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Melampirkan bukti bayar BPJS ketenagakerjaan 3 bulan terak</w:t>
            </w:r>
            <w:r w:rsidR="00DC0222">
              <w:rPr>
                <w:rFonts w:ascii="Arial" w:hAnsi="Arial" w:cs="Arial"/>
                <w:sz w:val="24"/>
                <w:szCs w:val="24"/>
              </w:rPr>
              <w:t>hir</w:t>
            </w:r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>Oktob</w:t>
            </w:r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>er</w:t>
            </w:r>
            <w:proofErr w:type="spellEnd"/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 xml:space="preserve">, November, </w:t>
            </w:r>
            <w:proofErr w:type="spellStart"/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>Desember</w:t>
            </w:r>
            <w:proofErr w:type="spellEnd"/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 xml:space="preserve"> 2022</w:t>
            </w:r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695428" w:rsidRPr="00A1368B" w:rsidRDefault="00A1368B" w:rsidP="00A1368B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68B">
              <w:rPr>
                <w:rFonts w:ascii="Arial" w:hAnsi="Arial" w:cs="Arial"/>
                <w:sz w:val="24"/>
                <w:szCs w:val="24"/>
              </w:rPr>
              <w:t>Melampi</w:t>
            </w:r>
            <w:r w:rsidR="00F5546A">
              <w:rPr>
                <w:rFonts w:ascii="Arial" w:hAnsi="Arial" w:cs="Arial"/>
                <w:sz w:val="24"/>
                <w:szCs w:val="24"/>
              </w:rPr>
              <w:t>rkan laporan keuangan tahun 2021</w:t>
            </w:r>
            <w:r w:rsidRPr="00A1368B">
              <w:rPr>
                <w:rFonts w:ascii="Arial" w:hAnsi="Arial" w:cs="Arial"/>
                <w:sz w:val="24"/>
                <w:szCs w:val="24"/>
              </w:rPr>
              <w:t xml:space="preserve"> yang dikeluarkan oleh kantor akuntan public </w:t>
            </w:r>
            <w:r w:rsidR="00DE756C" w:rsidRPr="00A1368B">
              <w:rPr>
                <w:rFonts w:ascii="Arial" w:hAnsi="Arial" w:cs="Arial"/>
                <w:sz w:val="24"/>
                <w:szCs w:val="24"/>
              </w:rPr>
              <w:t xml:space="preserve">(KAP) </w:t>
            </w:r>
            <w:r w:rsidR="00B82950">
              <w:rPr>
                <w:rFonts w:ascii="Arial" w:hAnsi="Arial" w:cs="Arial"/>
                <w:sz w:val="24"/>
                <w:szCs w:val="24"/>
              </w:rPr>
              <w:t>yang terdaftar di</w:t>
            </w:r>
            <w:r w:rsidRPr="00A1368B">
              <w:rPr>
                <w:rFonts w:ascii="Arial" w:hAnsi="Arial" w:cs="Arial"/>
                <w:sz w:val="24"/>
                <w:szCs w:val="24"/>
              </w:rPr>
              <w:t>kementrian keuangan RI yang masih berlaku dengan melampirkan surat keputusan menteri keuangan RI tentang ijin akuntan publik</w:t>
            </w:r>
            <w:r w:rsidR="00DC0222" w:rsidRPr="00A136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</w:t>
            </w:r>
            <w:r w:rsidR="00B82950">
              <w:rPr>
                <w:rFonts w:ascii="Arial" w:hAnsi="Arial" w:cs="Arial"/>
                <w:sz w:val="24"/>
                <w:szCs w:val="24"/>
              </w:rPr>
              <w:t xml:space="preserve">miliki ISO 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9001</w:t>
            </w:r>
            <w:r w:rsidR="00130E09">
              <w:rPr>
                <w:rFonts w:ascii="Arial" w:hAnsi="Arial" w:cs="Arial"/>
                <w:sz w:val="24"/>
                <w:szCs w:val="24"/>
              </w:rPr>
              <w:t xml:space="preserve"> : 2015</w:t>
            </w:r>
            <w:r w:rsidR="004D51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4909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914909">
              <w:rPr>
                <w:rFonts w:ascii="Arial" w:hAnsi="Arial" w:cs="Arial"/>
                <w:sz w:val="24"/>
                <w:szCs w:val="24"/>
                <w:lang w:val="en-US"/>
              </w:rPr>
              <w:t xml:space="preserve"> ISO 45001 : 2018</w:t>
            </w:r>
          </w:p>
          <w:p w:rsidR="00695428" w:rsidRPr="00DE756C" w:rsidRDefault="00695428" w:rsidP="00DE756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Memiliki pengalaman pekerjaan</w:t>
            </w:r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E756C">
              <w:rPr>
                <w:rFonts w:ascii="Arial" w:hAnsi="Arial" w:cs="Arial"/>
                <w:sz w:val="24"/>
                <w:szCs w:val="24"/>
              </w:rPr>
              <w:t xml:space="preserve">Penyediaan jasa pada divisi 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Pr="00DE756C">
              <w:rPr>
                <w:rFonts w:ascii="Arial" w:hAnsi="Arial" w:cs="Arial"/>
                <w:sz w:val="24"/>
                <w:szCs w:val="24"/>
              </w:rPr>
              <w:t xml:space="preserve"> paling kurang 1 pekerjaan dalam kurun waktu 1 tahun terakhir baik dilingkungan pemerintah maupun swasta termasuk pengalaman subkontrak</w:t>
            </w:r>
          </w:p>
          <w:p w:rsidR="00695428" w:rsidRPr="00695428" w:rsidRDefault="00DE756C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95428" w:rsidRPr="00695428">
              <w:rPr>
                <w:rFonts w:ascii="Arial" w:hAnsi="Arial" w:cs="Arial"/>
                <w:sz w:val="24"/>
                <w:szCs w:val="24"/>
              </w:rPr>
              <w:t xml:space="preserve">Penyediaan jasa sekurang-kurangnya dalam kelompok/grup 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851</w:t>
            </w:r>
            <w:r w:rsidR="00695428" w:rsidRPr="00695428">
              <w:rPr>
                <w:rFonts w:ascii="Arial" w:hAnsi="Arial" w:cs="Arial"/>
                <w:sz w:val="24"/>
                <w:szCs w:val="24"/>
              </w:rPr>
              <w:t xml:space="preserve"> paling kurang 1 pekerjaan dalam kurun waktu 3 tahun terakhir  baik dilingkungan pemerintah maupun swasta termasuk pengalaman subkontrak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Nilai pekerjaan sejenis tertinggi dalam kurun waktu 10 tahun terakhir untuk usaha non kecil paling kurang sama dengan 50% dari nilai total HPS</w:t>
            </w:r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melampirkan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kontrak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BAST</w:t>
            </w:r>
          </w:p>
          <w:p w:rsidR="004D5164" w:rsidRDefault="004D5164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070A1" w:rsidRPr="00B8101F" w:rsidTr="00D968AC">
        <w:tc>
          <w:tcPr>
            <w:tcW w:w="483" w:type="dxa"/>
            <w:gridSpan w:val="2"/>
          </w:tcPr>
          <w:p w:rsidR="00F070A1" w:rsidRPr="00F070A1" w:rsidRDefault="00F070A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</w:t>
            </w:r>
            <w:r w:rsid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</w:tcPr>
          <w:p w:rsidR="00F070A1" w:rsidRDefault="00F070A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Pertanggungjawaban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Keuangan</w:t>
            </w:r>
            <w:proofErr w:type="spellEnd"/>
          </w:p>
          <w:p w:rsidR="00F070A1" w:rsidRDefault="00F070A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6F6E" w:rsidRDefault="00F070A1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Jika pembayaran imbalan jasa telah dilakukan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>enyedia</w:t>
            </w:r>
            <w:proofErr w:type="spellEnd"/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pertanggungjawaban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didukung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62D"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>pertanggungjawabkan</w:t>
            </w:r>
            <w:proofErr w:type="spellEnd"/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>secara</w:t>
            </w:r>
            <w:proofErr w:type="spellEnd"/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hukum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2F4E86" w:rsidRDefault="002F4E86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070A1" w:rsidRDefault="002F4E86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Pertanggungjawaban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okumen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proofErr w:type="spellStart"/>
            <w:proofErr w:type="gram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dibutuhkan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proofErr w:type="gram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pencairan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E81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B25E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lainnya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dibuat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ditandatangani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secukupnya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pejabat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terkait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sesuai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ketentuan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.  </w:t>
            </w:r>
          </w:p>
          <w:p w:rsidR="00FB19B8" w:rsidRPr="00F070A1" w:rsidRDefault="00FB19B8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59DD" w:rsidRPr="00B8101F" w:rsidTr="00D968AC">
        <w:tc>
          <w:tcPr>
            <w:tcW w:w="483" w:type="dxa"/>
            <w:gridSpan w:val="2"/>
          </w:tcPr>
          <w:p w:rsidR="00D359DD" w:rsidRPr="00F070A1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</w:tcPr>
          <w:p w:rsidR="00D359DD" w:rsidRPr="00B8101F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Laporan Kemajuan Pekerjaan </w:t>
            </w:r>
          </w:p>
          <w:p w:rsidR="00D359DD" w:rsidRPr="00B8101F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9DD" w:rsidRPr="00736927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Penyedia Jasa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membuat laporan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berupa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hadir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didukung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transfer bank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BPJS,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Acara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8101F">
              <w:rPr>
                <w:rFonts w:ascii="Arial" w:hAnsi="Arial" w:cs="Arial"/>
                <w:sz w:val="24"/>
                <w:szCs w:val="24"/>
              </w:rPr>
              <w:t>Berita Acara Serah Terima Hasil Pekerjaan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359DD" w:rsidRPr="00B8101F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70A1" w:rsidRDefault="00F070A1">
      <w:pPr>
        <w:rPr>
          <w:lang w:val="en-US"/>
        </w:rPr>
      </w:pPr>
    </w:p>
    <w:p w:rsidR="00471B96" w:rsidRDefault="00471B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  <w:t xml:space="preserve">Medan,             </w:t>
      </w:r>
      <w:proofErr w:type="spellStart"/>
      <w:proofErr w:type="gramStart"/>
      <w:r w:rsidR="00DE756C">
        <w:rPr>
          <w:lang w:val="en-US"/>
        </w:rPr>
        <w:t>Januari</w:t>
      </w:r>
      <w:proofErr w:type="spellEnd"/>
      <w:r w:rsidR="00FB19B8">
        <w:rPr>
          <w:lang w:val="en-US"/>
        </w:rPr>
        <w:t xml:space="preserve">  </w:t>
      </w:r>
      <w:r w:rsidR="00F5546A">
        <w:rPr>
          <w:lang w:val="en-US"/>
        </w:rPr>
        <w:t>2023</w:t>
      </w:r>
      <w:proofErr w:type="gramEnd"/>
    </w:p>
    <w:tbl>
      <w:tblPr>
        <w:tblStyle w:val="TableGrid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D359DD" w:rsidRPr="00B8101F" w:rsidTr="00D359DD">
        <w:tc>
          <w:tcPr>
            <w:tcW w:w="9243" w:type="dxa"/>
          </w:tcPr>
          <w:p w:rsidR="00D359DD" w:rsidRPr="00B8101F" w:rsidRDefault="00FB19B8" w:rsidP="00D35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48895</wp:posOffset>
                      </wp:positionV>
                      <wp:extent cx="2638425" cy="2047875"/>
                      <wp:effectExtent l="0" t="5080" r="0" b="44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047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Disusun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oleh</w:t>
                                  </w:r>
                                  <w:proofErr w:type="spellEnd"/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PEJABAT PEMBUAT KOMITMEN BPPRD PROVSU</w:t>
                                  </w: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F5546A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MAISARAH, SE</w:t>
                                  </w:r>
                                </w:p>
                                <w:p w:rsidR="00362643" w:rsidRDefault="00F5546A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PENATA </w:t>
                                  </w:r>
                                </w:p>
                                <w:p w:rsidR="00362643" w:rsidRPr="00A86CA6" w:rsidRDefault="00F5546A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NIP. 19790511 200902 2 002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245.25pt;margin-top:3.85pt;width:20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" stroked="f">
                      <v:textbox>
                        <w:txbxContent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Disusun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  <w:r>
                              <w:t>PEJABAT PEMBUAT KOMITMEN BPPRD PROVSU</w:t>
                            </w: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F5546A" w:rsidP="001D657E">
                            <w:pPr>
                              <w:pStyle w:val="NoSpacing"/>
                              <w:jc w:val="center"/>
                            </w:pPr>
                            <w:r>
                              <w:t>MAISARAH, SE</w:t>
                            </w:r>
                          </w:p>
                          <w:p w:rsidR="00362643" w:rsidRDefault="00F5546A" w:rsidP="001D657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PENATA </w:t>
                            </w:r>
                          </w:p>
                          <w:p w:rsidR="00362643" w:rsidRPr="00A86CA6" w:rsidRDefault="00F5546A" w:rsidP="001D657E">
                            <w:pPr>
                              <w:pStyle w:val="NoSpacing"/>
                              <w:jc w:val="center"/>
                            </w:pPr>
                            <w:r>
                              <w:t>NIP. 19790511 200902 2 002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359DD" w:rsidRPr="003A294E" w:rsidRDefault="00D359DD" w:rsidP="00D359DD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D5F4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Medan,        Januari  2018</w:t>
            </w:r>
          </w:p>
          <w:p w:rsidR="00D359DD" w:rsidRPr="00B8101F" w:rsidRDefault="00D359DD" w:rsidP="00A86CA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E7C10" w:rsidRPr="00B8101F" w:rsidRDefault="001E7C10" w:rsidP="001E7C1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7C10" w:rsidRPr="00B8101F" w:rsidRDefault="00FB19B8" w:rsidP="000B05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1937385</wp:posOffset>
                </wp:positionV>
                <wp:extent cx="2886075" cy="2047875"/>
                <wp:effectExtent l="0" t="4445" r="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43" w:rsidRPr="00A86CA6" w:rsidRDefault="00362643" w:rsidP="00A86C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43.25pt;margin-top:152.55pt;width:227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" stroked="f">
                <v:textbox>
                  <w:txbxContent>
                    <w:p w:rsidR="00362643" w:rsidRPr="00A86CA6" w:rsidRDefault="00362643" w:rsidP="00A86C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C10" w:rsidRPr="00B8101F" w:rsidSect="00D359D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397"/>
    <w:multiLevelType w:val="hybridMultilevel"/>
    <w:tmpl w:val="3D7AD47E"/>
    <w:lvl w:ilvl="0" w:tplc="6A58376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C039BB"/>
    <w:multiLevelType w:val="hybridMultilevel"/>
    <w:tmpl w:val="C6EC035A"/>
    <w:lvl w:ilvl="0" w:tplc="E3749DF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796A84"/>
    <w:multiLevelType w:val="hybridMultilevel"/>
    <w:tmpl w:val="28A22B9C"/>
    <w:lvl w:ilvl="0" w:tplc="48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5846F5"/>
    <w:multiLevelType w:val="hybridMultilevel"/>
    <w:tmpl w:val="32A8D334"/>
    <w:lvl w:ilvl="0" w:tplc="C80CF7CE">
      <w:start w:val="2"/>
      <w:numFmt w:val="bullet"/>
      <w:lvlText w:val="-"/>
      <w:lvlJc w:val="left"/>
      <w:pPr>
        <w:ind w:left="4785" w:hanging="360"/>
      </w:pPr>
      <w:rPr>
        <w:rFonts w:ascii="Footlight MT Light" w:eastAsia="Times New Roman" w:hAnsi="Footlight MT Light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" w15:restartNumberingAfterBreak="0">
    <w:nsid w:val="1B443059"/>
    <w:multiLevelType w:val="hybridMultilevel"/>
    <w:tmpl w:val="90661976"/>
    <w:lvl w:ilvl="0" w:tplc="476A04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40A87"/>
    <w:multiLevelType w:val="hybridMultilevel"/>
    <w:tmpl w:val="A91E6C76"/>
    <w:lvl w:ilvl="0" w:tplc="3CEA51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A712F"/>
    <w:multiLevelType w:val="hybridMultilevel"/>
    <w:tmpl w:val="F120EE7A"/>
    <w:lvl w:ilvl="0" w:tplc="9084B3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97F3E"/>
    <w:multiLevelType w:val="hybridMultilevel"/>
    <w:tmpl w:val="6A408A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0D74"/>
    <w:multiLevelType w:val="hybridMultilevel"/>
    <w:tmpl w:val="2CAE5ACC"/>
    <w:lvl w:ilvl="0" w:tplc="D2B2A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2D82"/>
    <w:multiLevelType w:val="hybridMultilevel"/>
    <w:tmpl w:val="4D7882DC"/>
    <w:lvl w:ilvl="0" w:tplc="CD28F8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42F1"/>
    <w:multiLevelType w:val="hybridMultilevel"/>
    <w:tmpl w:val="C17A05BE"/>
    <w:lvl w:ilvl="0" w:tplc="71BCD9A8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E702D4E"/>
    <w:multiLevelType w:val="hybridMultilevel"/>
    <w:tmpl w:val="DAD83BB4"/>
    <w:lvl w:ilvl="0" w:tplc="53F69F76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5730A0E"/>
    <w:multiLevelType w:val="hybridMultilevel"/>
    <w:tmpl w:val="E87469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01B7"/>
    <w:multiLevelType w:val="hybridMultilevel"/>
    <w:tmpl w:val="F1BA1D8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1"/>
    <w:rsid w:val="000047FD"/>
    <w:rsid w:val="00010A31"/>
    <w:rsid w:val="00025608"/>
    <w:rsid w:val="000339D0"/>
    <w:rsid w:val="00033F97"/>
    <w:rsid w:val="000A5CA2"/>
    <w:rsid w:val="000B0571"/>
    <w:rsid w:val="000F2314"/>
    <w:rsid w:val="000F3965"/>
    <w:rsid w:val="00114195"/>
    <w:rsid w:val="00130E09"/>
    <w:rsid w:val="0014032C"/>
    <w:rsid w:val="001430DF"/>
    <w:rsid w:val="001440F7"/>
    <w:rsid w:val="00153B01"/>
    <w:rsid w:val="001628F9"/>
    <w:rsid w:val="0016469A"/>
    <w:rsid w:val="00164AD2"/>
    <w:rsid w:val="00191DB1"/>
    <w:rsid w:val="00195569"/>
    <w:rsid w:val="00196009"/>
    <w:rsid w:val="001A0933"/>
    <w:rsid w:val="001B42F6"/>
    <w:rsid w:val="001C6280"/>
    <w:rsid w:val="001C6F6E"/>
    <w:rsid w:val="001D3789"/>
    <w:rsid w:val="001D57B7"/>
    <w:rsid w:val="001D657E"/>
    <w:rsid w:val="001E6187"/>
    <w:rsid w:val="001E7C10"/>
    <w:rsid w:val="002078FF"/>
    <w:rsid w:val="002135F4"/>
    <w:rsid w:val="00227038"/>
    <w:rsid w:val="002407E1"/>
    <w:rsid w:val="00275569"/>
    <w:rsid w:val="002A139A"/>
    <w:rsid w:val="002A5B41"/>
    <w:rsid w:val="002B1E06"/>
    <w:rsid w:val="002B4880"/>
    <w:rsid w:val="002C5C13"/>
    <w:rsid w:val="002E5438"/>
    <w:rsid w:val="002E60D7"/>
    <w:rsid w:val="002F4E86"/>
    <w:rsid w:val="0030715C"/>
    <w:rsid w:val="00340FBA"/>
    <w:rsid w:val="003438C1"/>
    <w:rsid w:val="0035142F"/>
    <w:rsid w:val="0035488D"/>
    <w:rsid w:val="00362643"/>
    <w:rsid w:val="003A294E"/>
    <w:rsid w:val="003A4697"/>
    <w:rsid w:val="003B09F7"/>
    <w:rsid w:val="003B4AF7"/>
    <w:rsid w:val="003B5FF0"/>
    <w:rsid w:val="003C1F2C"/>
    <w:rsid w:val="003F3020"/>
    <w:rsid w:val="00402890"/>
    <w:rsid w:val="00404A18"/>
    <w:rsid w:val="00414FDE"/>
    <w:rsid w:val="004505A7"/>
    <w:rsid w:val="00454B10"/>
    <w:rsid w:val="004659EE"/>
    <w:rsid w:val="00471B96"/>
    <w:rsid w:val="00474D3E"/>
    <w:rsid w:val="00476A30"/>
    <w:rsid w:val="00485B0E"/>
    <w:rsid w:val="004964AB"/>
    <w:rsid w:val="004D5164"/>
    <w:rsid w:val="004F7A21"/>
    <w:rsid w:val="0051496E"/>
    <w:rsid w:val="0052422D"/>
    <w:rsid w:val="005264D2"/>
    <w:rsid w:val="00526E60"/>
    <w:rsid w:val="00574F5A"/>
    <w:rsid w:val="00580997"/>
    <w:rsid w:val="0058460A"/>
    <w:rsid w:val="005C2522"/>
    <w:rsid w:val="005C55F1"/>
    <w:rsid w:val="005D4073"/>
    <w:rsid w:val="005D76FA"/>
    <w:rsid w:val="00635B83"/>
    <w:rsid w:val="00651396"/>
    <w:rsid w:val="00670474"/>
    <w:rsid w:val="00682BF3"/>
    <w:rsid w:val="00692180"/>
    <w:rsid w:val="00695428"/>
    <w:rsid w:val="006B78E9"/>
    <w:rsid w:val="006C1D0C"/>
    <w:rsid w:val="006D1727"/>
    <w:rsid w:val="006E5903"/>
    <w:rsid w:val="00720DBF"/>
    <w:rsid w:val="00736927"/>
    <w:rsid w:val="007B60FF"/>
    <w:rsid w:val="007C5344"/>
    <w:rsid w:val="007C63DC"/>
    <w:rsid w:val="0083106F"/>
    <w:rsid w:val="00840611"/>
    <w:rsid w:val="008577C3"/>
    <w:rsid w:val="00883E18"/>
    <w:rsid w:val="00884416"/>
    <w:rsid w:val="00893715"/>
    <w:rsid w:val="008C799C"/>
    <w:rsid w:val="0091180E"/>
    <w:rsid w:val="00912CC4"/>
    <w:rsid w:val="00914909"/>
    <w:rsid w:val="009255CC"/>
    <w:rsid w:val="009510DD"/>
    <w:rsid w:val="00977007"/>
    <w:rsid w:val="0098654D"/>
    <w:rsid w:val="00986F15"/>
    <w:rsid w:val="00993227"/>
    <w:rsid w:val="009B5D69"/>
    <w:rsid w:val="009D0507"/>
    <w:rsid w:val="009D17A4"/>
    <w:rsid w:val="009E40D4"/>
    <w:rsid w:val="009F10A2"/>
    <w:rsid w:val="009F72E4"/>
    <w:rsid w:val="00A037B8"/>
    <w:rsid w:val="00A1368B"/>
    <w:rsid w:val="00A47B36"/>
    <w:rsid w:val="00A53713"/>
    <w:rsid w:val="00A53D10"/>
    <w:rsid w:val="00A76841"/>
    <w:rsid w:val="00A86CA6"/>
    <w:rsid w:val="00AA5EF8"/>
    <w:rsid w:val="00AC457E"/>
    <w:rsid w:val="00AC4DF0"/>
    <w:rsid w:val="00AD5F4D"/>
    <w:rsid w:val="00AE6612"/>
    <w:rsid w:val="00AF214A"/>
    <w:rsid w:val="00B04429"/>
    <w:rsid w:val="00B13E4E"/>
    <w:rsid w:val="00B16E00"/>
    <w:rsid w:val="00B17631"/>
    <w:rsid w:val="00B2591E"/>
    <w:rsid w:val="00B25C65"/>
    <w:rsid w:val="00B25E81"/>
    <w:rsid w:val="00B26E9C"/>
    <w:rsid w:val="00B35691"/>
    <w:rsid w:val="00B37316"/>
    <w:rsid w:val="00B42571"/>
    <w:rsid w:val="00B6248F"/>
    <w:rsid w:val="00B8101F"/>
    <w:rsid w:val="00B82950"/>
    <w:rsid w:val="00BB0F54"/>
    <w:rsid w:val="00BC3BCA"/>
    <w:rsid w:val="00C043F1"/>
    <w:rsid w:val="00C109C5"/>
    <w:rsid w:val="00C25C9F"/>
    <w:rsid w:val="00C3391C"/>
    <w:rsid w:val="00C3562D"/>
    <w:rsid w:val="00C43F6A"/>
    <w:rsid w:val="00C610AA"/>
    <w:rsid w:val="00C617DA"/>
    <w:rsid w:val="00C61B14"/>
    <w:rsid w:val="00C70B92"/>
    <w:rsid w:val="00C80651"/>
    <w:rsid w:val="00C92F07"/>
    <w:rsid w:val="00CA3600"/>
    <w:rsid w:val="00CB4378"/>
    <w:rsid w:val="00CC05F5"/>
    <w:rsid w:val="00CD3765"/>
    <w:rsid w:val="00CF027A"/>
    <w:rsid w:val="00CF0C98"/>
    <w:rsid w:val="00D22307"/>
    <w:rsid w:val="00D359DD"/>
    <w:rsid w:val="00D57B95"/>
    <w:rsid w:val="00D72A42"/>
    <w:rsid w:val="00D7316F"/>
    <w:rsid w:val="00D92C18"/>
    <w:rsid w:val="00D9567B"/>
    <w:rsid w:val="00D968AC"/>
    <w:rsid w:val="00DB0349"/>
    <w:rsid w:val="00DB1F0F"/>
    <w:rsid w:val="00DB373F"/>
    <w:rsid w:val="00DC0222"/>
    <w:rsid w:val="00DC4CED"/>
    <w:rsid w:val="00DE756C"/>
    <w:rsid w:val="00DF19CE"/>
    <w:rsid w:val="00DF3C09"/>
    <w:rsid w:val="00E049F7"/>
    <w:rsid w:val="00E113B9"/>
    <w:rsid w:val="00E24266"/>
    <w:rsid w:val="00E40B14"/>
    <w:rsid w:val="00E47C6E"/>
    <w:rsid w:val="00E50BE3"/>
    <w:rsid w:val="00E664AD"/>
    <w:rsid w:val="00E809B4"/>
    <w:rsid w:val="00E844E1"/>
    <w:rsid w:val="00E853AD"/>
    <w:rsid w:val="00E95646"/>
    <w:rsid w:val="00EA4285"/>
    <w:rsid w:val="00EA7BCF"/>
    <w:rsid w:val="00ED2D80"/>
    <w:rsid w:val="00EF497C"/>
    <w:rsid w:val="00F070A1"/>
    <w:rsid w:val="00F10547"/>
    <w:rsid w:val="00F40D14"/>
    <w:rsid w:val="00F51A45"/>
    <w:rsid w:val="00F5546A"/>
    <w:rsid w:val="00F64E90"/>
    <w:rsid w:val="00F72546"/>
    <w:rsid w:val="00F7256B"/>
    <w:rsid w:val="00FA04EE"/>
    <w:rsid w:val="00FB19B8"/>
    <w:rsid w:val="00FB590C"/>
    <w:rsid w:val="00FD0F24"/>
    <w:rsid w:val="00FD4658"/>
    <w:rsid w:val="00FD645F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AA6A"/>
  <w15:docId w15:val="{8EA93CE9-DED3-49AC-80BB-A32BD50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18"/>
    <w:pPr>
      <w:ind w:left="720"/>
      <w:contextualSpacing/>
    </w:pPr>
  </w:style>
  <w:style w:type="table" w:styleId="TableGrid">
    <w:name w:val="Table Grid"/>
    <w:basedOn w:val="TableNormal"/>
    <w:uiPriority w:val="59"/>
    <w:rsid w:val="001E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4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059052-2918-48FA-A8EB-90BC4B12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User</cp:lastModifiedBy>
  <cp:revision>14</cp:revision>
  <cp:lastPrinted>2021-01-19T07:49:00Z</cp:lastPrinted>
  <dcterms:created xsi:type="dcterms:W3CDTF">2021-02-04T05:24:00Z</dcterms:created>
  <dcterms:modified xsi:type="dcterms:W3CDTF">2023-01-02T01:56:00Z</dcterms:modified>
</cp:coreProperties>
</file>